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1DF3" w14:textId="14A48657" w:rsidR="00B90005" w:rsidRPr="000B671A" w:rsidRDefault="00B90005" w:rsidP="008F4B29">
      <w:pPr>
        <w:spacing w:after="120" w:line="340" w:lineRule="exact"/>
        <w:contextualSpacing/>
        <w:jc w:val="center"/>
        <w:rPr>
          <w:rFonts w:ascii="Calibri" w:hAnsi="Calibri" w:cs="Calibri"/>
          <w:sz w:val="22"/>
          <w:szCs w:val="22"/>
        </w:rPr>
      </w:pPr>
    </w:p>
    <w:p w14:paraId="2032A3FE" w14:textId="101EB58F" w:rsidR="001F253C" w:rsidRPr="00C37A27" w:rsidRDefault="001F253C" w:rsidP="00B565B2">
      <w:pPr>
        <w:spacing w:line="340" w:lineRule="exact"/>
        <w:contextualSpacing/>
        <w:jc w:val="center"/>
        <w:rPr>
          <w:rFonts w:asciiTheme="minorHAnsi" w:hAnsiTheme="minorHAnsi" w:cstheme="minorHAnsi"/>
          <w:sz w:val="22"/>
          <w:szCs w:val="22"/>
        </w:rPr>
      </w:pPr>
      <w:r w:rsidRPr="00C37A27">
        <w:rPr>
          <w:rFonts w:asciiTheme="minorHAnsi" w:hAnsiTheme="minorHAnsi" w:cstheme="minorHAnsi"/>
          <w:sz w:val="22"/>
          <w:szCs w:val="22"/>
        </w:rPr>
        <w:t xml:space="preserve">Prospex </w:t>
      </w:r>
      <w:r w:rsidR="00E205DD" w:rsidRPr="00C37A27">
        <w:rPr>
          <w:rFonts w:asciiTheme="minorHAnsi" w:hAnsiTheme="minorHAnsi" w:cstheme="minorHAnsi"/>
          <w:sz w:val="22"/>
          <w:szCs w:val="22"/>
        </w:rPr>
        <w:t>Energy</w:t>
      </w:r>
      <w:r w:rsidRPr="00C37A27">
        <w:rPr>
          <w:rFonts w:asciiTheme="minorHAnsi" w:hAnsiTheme="minorHAnsi" w:cstheme="minorHAnsi"/>
          <w:sz w:val="22"/>
          <w:szCs w:val="22"/>
        </w:rPr>
        <w:t xml:space="preserve"> Plc / Index: AIM / Epic: PX</w:t>
      </w:r>
      <w:r w:rsidR="0082656C" w:rsidRPr="00C37A27">
        <w:rPr>
          <w:rFonts w:asciiTheme="minorHAnsi" w:hAnsiTheme="minorHAnsi" w:cstheme="minorHAnsi"/>
          <w:sz w:val="22"/>
          <w:szCs w:val="22"/>
        </w:rPr>
        <w:t>EN</w:t>
      </w:r>
      <w:r w:rsidRPr="00C37A27">
        <w:rPr>
          <w:rFonts w:asciiTheme="minorHAnsi" w:hAnsiTheme="minorHAnsi" w:cstheme="minorHAnsi"/>
          <w:sz w:val="22"/>
          <w:szCs w:val="22"/>
        </w:rPr>
        <w:t xml:space="preserve"> / Sector: </w:t>
      </w:r>
      <w:r w:rsidR="00E205DD" w:rsidRPr="00C37A27">
        <w:rPr>
          <w:rFonts w:asciiTheme="minorHAnsi" w:hAnsiTheme="minorHAnsi" w:cstheme="minorHAnsi"/>
          <w:sz w:val="22"/>
          <w:szCs w:val="22"/>
        </w:rPr>
        <w:t>Energy</w:t>
      </w:r>
    </w:p>
    <w:p w14:paraId="51CA0EAE" w14:textId="77777777" w:rsidR="001F253C" w:rsidRPr="00C37A27" w:rsidRDefault="001F253C" w:rsidP="00B565B2">
      <w:pPr>
        <w:shd w:val="clear" w:color="auto" w:fill="FFFFFF"/>
        <w:spacing w:line="340" w:lineRule="exact"/>
        <w:contextualSpacing/>
        <w:jc w:val="center"/>
        <w:rPr>
          <w:rFonts w:asciiTheme="minorHAnsi" w:hAnsiTheme="minorHAnsi" w:cstheme="minorHAnsi"/>
          <w:b/>
          <w:color w:val="000000"/>
          <w:sz w:val="22"/>
          <w:szCs w:val="22"/>
          <w:lang w:eastAsia="en-GB"/>
        </w:rPr>
      </w:pPr>
    </w:p>
    <w:p w14:paraId="6A5779A5" w14:textId="77777777" w:rsidR="0082656C" w:rsidRPr="00C37A27" w:rsidRDefault="001F253C" w:rsidP="00B565B2">
      <w:pPr>
        <w:shd w:val="clear" w:color="auto" w:fill="FFFFFF"/>
        <w:spacing w:line="340" w:lineRule="exact"/>
        <w:contextualSpacing/>
        <w:jc w:val="center"/>
        <w:rPr>
          <w:rFonts w:asciiTheme="minorHAnsi" w:hAnsiTheme="minorHAnsi" w:cstheme="minorHAnsi"/>
          <w:b/>
          <w:color w:val="000000"/>
          <w:sz w:val="22"/>
          <w:szCs w:val="22"/>
          <w:lang w:eastAsia="en-GB"/>
        </w:rPr>
      </w:pPr>
      <w:r w:rsidRPr="00C37A27">
        <w:rPr>
          <w:rFonts w:asciiTheme="minorHAnsi" w:hAnsiTheme="minorHAnsi" w:cstheme="minorHAnsi"/>
          <w:b/>
          <w:color w:val="000000"/>
          <w:sz w:val="22"/>
          <w:szCs w:val="22"/>
          <w:lang w:eastAsia="en-GB"/>
        </w:rPr>
        <w:t xml:space="preserve">Prospex </w:t>
      </w:r>
      <w:r w:rsidR="00E205DD" w:rsidRPr="00C37A27">
        <w:rPr>
          <w:rFonts w:asciiTheme="minorHAnsi" w:hAnsiTheme="minorHAnsi" w:cstheme="minorHAnsi"/>
          <w:b/>
          <w:color w:val="000000"/>
          <w:sz w:val="22"/>
          <w:szCs w:val="22"/>
          <w:lang w:eastAsia="en-GB"/>
        </w:rPr>
        <w:t>Energy</w:t>
      </w:r>
      <w:r w:rsidRPr="00C37A27">
        <w:rPr>
          <w:rFonts w:asciiTheme="minorHAnsi" w:hAnsiTheme="minorHAnsi" w:cstheme="minorHAnsi"/>
          <w:b/>
          <w:color w:val="000000"/>
          <w:sz w:val="22"/>
          <w:szCs w:val="22"/>
          <w:lang w:eastAsia="en-GB"/>
        </w:rPr>
        <w:t xml:space="preserve"> Plc (‘Prospex’ or the ‘Company’) </w:t>
      </w:r>
    </w:p>
    <w:p w14:paraId="69F8E089" w14:textId="77777777" w:rsidR="0082656C" w:rsidRPr="00C37A27" w:rsidRDefault="0082656C" w:rsidP="00B565B2">
      <w:pPr>
        <w:shd w:val="clear" w:color="auto" w:fill="FFFFFF"/>
        <w:spacing w:line="340" w:lineRule="exact"/>
        <w:contextualSpacing/>
        <w:jc w:val="center"/>
        <w:rPr>
          <w:rFonts w:asciiTheme="minorHAnsi" w:hAnsiTheme="minorHAnsi" w:cstheme="minorHAnsi"/>
          <w:b/>
          <w:color w:val="000000"/>
          <w:sz w:val="22"/>
          <w:szCs w:val="22"/>
          <w:lang w:eastAsia="en-GB"/>
        </w:rPr>
      </w:pPr>
    </w:p>
    <w:p w14:paraId="4FA20705" w14:textId="779BFDE9" w:rsidR="001F253C" w:rsidRDefault="001F253C" w:rsidP="00B565B2">
      <w:pPr>
        <w:shd w:val="clear" w:color="auto" w:fill="FFFFFF"/>
        <w:spacing w:line="340" w:lineRule="exact"/>
        <w:contextualSpacing/>
        <w:jc w:val="center"/>
        <w:rPr>
          <w:rFonts w:asciiTheme="minorHAnsi" w:hAnsiTheme="minorHAnsi" w:cstheme="minorHAnsi"/>
          <w:b/>
          <w:color w:val="000000"/>
          <w:sz w:val="22"/>
          <w:szCs w:val="22"/>
          <w:lang w:eastAsia="en-GB"/>
        </w:rPr>
      </w:pPr>
      <w:r w:rsidRPr="00C37A27">
        <w:rPr>
          <w:rFonts w:asciiTheme="minorHAnsi" w:hAnsiTheme="minorHAnsi" w:cstheme="minorHAnsi"/>
          <w:b/>
          <w:color w:val="000000"/>
          <w:sz w:val="22"/>
          <w:szCs w:val="22"/>
          <w:lang w:eastAsia="en-GB"/>
        </w:rPr>
        <w:t>Half Year Report</w:t>
      </w:r>
    </w:p>
    <w:p w14:paraId="319C95D3" w14:textId="7C6AFD8B" w:rsidR="00FE6F97" w:rsidRPr="00222811" w:rsidRDefault="00A44AD8" w:rsidP="00B565B2">
      <w:pPr>
        <w:shd w:val="clear" w:color="auto" w:fill="FFFFFF"/>
        <w:spacing w:line="340" w:lineRule="exact"/>
        <w:contextualSpacing/>
        <w:jc w:val="center"/>
        <w:rPr>
          <w:rFonts w:asciiTheme="minorHAnsi" w:hAnsiTheme="minorHAnsi" w:cstheme="minorHAnsi"/>
          <w:b/>
          <w:i/>
          <w:iCs/>
          <w:color w:val="000000"/>
          <w:sz w:val="22"/>
          <w:szCs w:val="22"/>
          <w:lang w:eastAsia="en-GB"/>
        </w:rPr>
      </w:pPr>
      <w:r w:rsidRPr="00222811">
        <w:rPr>
          <w:rFonts w:asciiTheme="minorHAnsi" w:hAnsiTheme="minorHAnsi" w:cstheme="minorHAnsi"/>
          <w:b/>
          <w:i/>
          <w:iCs/>
          <w:color w:val="000000"/>
          <w:sz w:val="22"/>
          <w:szCs w:val="22"/>
          <w:lang w:eastAsia="en-GB"/>
        </w:rPr>
        <w:t xml:space="preserve">Increase in Net Profit After Tax </w:t>
      </w:r>
      <w:r w:rsidR="00FE6F97">
        <w:rPr>
          <w:rFonts w:asciiTheme="minorHAnsi" w:hAnsiTheme="minorHAnsi" w:cstheme="minorHAnsi"/>
          <w:b/>
          <w:i/>
          <w:iCs/>
          <w:color w:val="000000"/>
          <w:sz w:val="22"/>
          <w:szCs w:val="22"/>
          <w:lang w:eastAsia="en-GB"/>
        </w:rPr>
        <w:t>and gain on investments and loans</w:t>
      </w:r>
    </w:p>
    <w:p w14:paraId="15F4348B" w14:textId="77777777" w:rsidR="001F253C" w:rsidRPr="00C37A27" w:rsidRDefault="001F253C" w:rsidP="00B565B2">
      <w:pPr>
        <w:shd w:val="clear" w:color="auto" w:fill="FFFFFF"/>
        <w:spacing w:line="340" w:lineRule="exact"/>
        <w:contextualSpacing/>
        <w:jc w:val="center"/>
        <w:rPr>
          <w:rFonts w:asciiTheme="minorHAnsi" w:hAnsiTheme="minorHAnsi" w:cstheme="minorHAnsi"/>
          <w:b/>
          <w:color w:val="000000"/>
          <w:sz w:val="22"/>
          <w:szCs w:val="22"/>
          <w:lang w:eastAsia="en-GB"/>
        </w:rPr>
      </w:pPr>
    </w:p>
    <w:p w14:paraId="0BCA42FD" w14:textId="11E2A586" w:rsidR="00D86859" w:rsidRPr="00C37A27" w:rsidRDefault="00D86859" w:rsidP="00B565B2">
      <w:pPr>
        <w:pStyle w:val="BodyText"/>
        <w:spacing w:line="340" w:lineRule="exact"/>
        <w:ind w:left="0" w:right="-62"/>
        <w:jc w:val="both"/>
        <w:rPr>
          <w:rFonts w:asciiTheme="minorHAnsi" w:hAnsiTheme="minorHAnsi" w:cstheme="minorHAnsi"/>
        </w:rPr>
      </w:pPr>
      <w:r w:rsidRPr="00C37A27">
        <w:rPr>
          <w:rFonts w:asciiTheme="minorHAnsi" w:hAnsiTheme="minorHAnsi" w:cstheme="minorHAnsi"/>
          <w:sz w:val="24"/>
          <w:szCs w:val="24"/>
        </w:rPr>
        <w:t xml:space="preserve">Prospex </w:t>
      </w:r>
      <w:r w:rsidRPr="00C37A27">
        <w:rPr>
          <w:rFonts w:asciiTheme="minorHAnsi" w:hAnsiTheme="minorHAnsi" w:cstheme="minorHAnsi"/>
        </w:rPr>
        <w:t xml:space="preserve">Energy Plc, the AIM quoted investment company, is pleased to announce its </w:t>
      </w:r>
      <w:r w:rsidR="00AC0116" w:rsidRPr="00C37A27">
        <w:rPr>
          <w:rFonts w:asciiTheme="minorHAnsi" w:hAnsiTheme="minorHAnsi" w:cstheme="minorHAnsi"/>
        </w:rPr>
        <w:t xml:space="preserve">unaudited </w:t>
      </w:r>
      <w:r w:rsidRPr="00C37A27">
        <w:rPr>
          <w:rFonts w:asciiTheme="minorHAnsi" w:hAnsiTheme="minorHAnsi" w:cstheme="minorHAnsi"/>
        </w:rPr>
        <w:t>Interim Results for the six months ended 30 June 202</w:t>
      </w:r>
      <w:r w:rsidR="00E302EE" w:rsidRPr="00C37A27">
        <w:rPr>
          <w:rFonts w:asciiTheme="minorHAnsi" w:hAnsiTheme="minorHAnsi" w:cstheme="minorHAnsi"/>
        </w:rPr>
        <w:t>2</w:t>
      </w:r>
      <w:r w:rsidRPr="00C37A27">
        <w:rPr>
          <w:rFonts w:asciiTheme="minorHAnsi" w:hAnsiTheme="minorHAnsi" w:cstheme="minorHAnsi"/>
        </w:rPr>
        <w:t>.</w:t>
      </w:r>
    </w:p>
    <w:p w14:paraId="665EAA3B" w14:textId="77777777" w:rsidR="00B565B2" w:rsidRPr="00C37A27" w:rsidRDefault="00B565B2" w:rsidP="00B565B2">
      <w:pPr>
        <w:pStyle w:val="BodyText"/>
        <w:spacing w:line="340" w:lineRule="exact"/>
        <w:ind w:left="0" w:right="-62"/>
        <w:jc w:val="both"/>
        <w:rPr>
          <w:rFonts w:asciiTheme="minorHAnsi" w:hAnsiTheme="minorHAnsi" w:cstheme="minorHAnsi"/>
        </w:rPr>
      </w:pPr>
    </w:p>
    <w:p w14:paraId="626F8029" w14:textId="6E7D0C52" w:rsidR="00B565B2" w:rsidRDefault="0050561A" w:rsidP="00A44AD8">
      <w:pPr>
        <w:pStyle w:val="BodyText"/>
        <w:spacing w:line="340" w:lineRule="exact"/>
        <w:ind w:left="0" w:right="435"/>
        <w:rPr>
          <w:rFonts w:asciiTheme="minorHAnsi" w:hAnsiTheme="minorHAnsi" w:cstheme="minorHAnsi"/>
          <w:b/>
          <w:bCs/>
        </w:rPr>
      </w:pPr>
      <w:r>
        <w:rPr>
          <w:rFonts w:asciiTheme="minorHAnsi" w:hAnsiTheme="minorHAnsi" w:cstheme="minorHAnsi"/>
          <w:b/>
          <w:bCs/>
        </w:rPr>
        <w:t xml:space="preserve">H1 2022 </w:t>
      </w:r>
      <w:r w:rsidR="00D86859" w:rsidRPr="00222811">
        <w:rPr>
          <w:rFonts w:asciiTheme="minorHAnsi" w:hAnsiTheme="minorHAnsi" w:cstheme="minorHAnsi"/>
          <w:b/>
          <w:bCs/>
        </w:rPr>
        <w:t>Financial</w:t>
      </w:r>
      <w:r w:rsidR="00A44AD8" w:rsidRPr="00222811">
        <w:rPr>
          <w:rFonts w:asciiTheme="minorHAnsi" w:hAnsiTheme="minorHAnsi" w:cstheme="minorHAnsi"/>
          <w:b/>
          <w:bCs/>
        </w:rPr>
        <w:t xml:space="preserve"> and Corporate Highlights </w:t>
      </w:r>
    </w:p>
    <w:p w14:paraId="217503CF" w14:textId="77777777" w:rsidR="00A44AD8" w:rsidRPr="00222811" w:rsidRDefault="00A44AD8" w:rsidP="00222811">
      <w:pPr>
        <w:pStyle w:val="BodyText"/>
        <w:spacing w:line="340" w:lineRule="exact"/>
        <w:ind w:left="0" w:right="435"/>
        <w:rPr>
          <w:rFonts w:asciiTheme="minorHAnsi" w:hAnsiTheme="minorHAnsi" w:cstheme="minorHAnsi"/>
          <w:b/>
          <w:bCs/>
        </w:rPr>
      </w:pPr>
    </w:p>
    <w:p w14:paraId="1219B847" w14:textId="16A512E5" w:rsidR="00B565B2" w:rsidRPr="00C37A27" w:rsidRDefault="00E302EE" w:rsidP="00B565B2">
      <w:pPr>
        <w:pStyle w:val="BodyText"/>
        <w:numPr>
          <w:ilvl w:val="0"/>
          <w:numId w:val="5"/>
        </w:numPr>
        <w:spacing w:line="340" w:lineRule="exact"/>
        <w:jc w:val="both"/>
        <w:rPr>
          <w:rFonts w:asciiTheme="minorHAnsi" w:hAnsiTheme="minorHAnsi" w:cstheme="minorHAnsi"/>
          <w:u w:val="single"/>
        </w:rPr>
      </w:pPr>
      <w:r w:rsidRPr="00C37A27">
        <w:rPr>
          <w:rFonts w:asciiTheme="minorHAnsi" w:hAnsiTheme="minorHAnsi" w:cstheme="minorHAnsi"/>
        </w:rPr>
        <w:t>£</w:t>
      </w:r>
      <w:r w:rsidR="00DA3B16" w:rsidRPr="00C37A27">
        <w:rPr>
          <w:rFonts w:asciiTheme="minorHAnsi" w:hAnsiTheme="minorHAnsi" w:cstheme="minorHAnsi"/>
        </w:rPr>
        <w:t>5,120,408</w:t>
      </w:r>
      <w:r w:rsidR="00D86859" w:rsidRPr="00C37A27">
        <w:rPr>
          <w:rFonts w:asciiTheme="minorHAnsi" w:hAnsiTheme="minorHAnsi" w:cstheme="minorHAnsi"/>
        </w:rPr>
        <w:t xml:space="preserve"> net </w:t>
      </w:r>
      <w:r w:rsidR="00DA3B16" w:rsidRPr="00C37A27">
        <w:rPr>
          <w:rFonts w:asciiTheme="minorHAnsi" w:hAnsiTheme="minorHAnsi" w:cstheme="minorHAnsi"/>
        </w:rPr>
        <w:t>profit</w:t>
      </w:r>
      <w:r w:rsidR="00D86859" w:rsidRPr="00C37A27">
        <w:rPr>
          <w:rFonts w:asciiTheme="minorHAnsi" w:hAnsiTheme="minorHAnsi" w:cstheme="minorHAnsi"/>
        </w:rPr>
        <w:t xml:space="preserve"> after taxation from continuing operations (H1 202</w:t>
      </w:r>
      <w:r w:rsidR="00AB133F" w:rsidRPr="00C37A27">
        <w:rPr>
          <w:rFonts w:asciiTheme="minorHAnsi" w:hAnsiTheme="minorHAnsi" w:cstheme="minorHAnsi"/>
        </w:rPr>
        <w:t>1</w:t>
      </w:r>
      <w:r w:rsidR="00D86859" w:rsidRPr="00C37A27">
        <w:rPr>
          <w:rFonts w:asciiTheme="minorHAnsi" w:hAnsiTheme="minorHAnsi" w:cstheme="minorHAnsi"/>
        </w:rPr>
        <w:t xml:space="preserve"> </w:t>
      </w:r>
      <w:r w:rsidRPr="00C37A27">
        <w:rPr>
          <w:rFonts w:asciiTheme="minorHAnsi" w:hAnsiTheme="minorHAnsi" w:cstheme="minorHAnsi"/>
        </w:rPr>
        <w:t>profit</w:t>
      </w:r>
      <w:r w:rsidR="00D86859" w:rsidRPr="00C37A27">
        <w:rPr>
          <w:rFonts w:asciiTheme="minorHAnsi" w:hAnsiTheme="minorHAnsi" w:cstheme="minorHAnsi"/>
        </w:rPr>
        <w:t>: £1</w:t>
      </w:r>
      <w:r w:rsidRPr="00C37A27">
        <w:rPr>
          <w:rFonts w:asciiTheme="minorHAnsi" w:hAnsiTheme="minorHAnsi" w:cstheme="minorHAnsi"/>
        </w:rPr>
        <w:t>29,356</w:t>
      </w:r>
      <w:r w:rsidR="00D86859" w:rsidRPr="00C37A27">
        <w:rPr>
          <w:rFonts w:asciiTheme="minorHAnsi" w:hAnsiTheme="minorHAnsi" w:cstheme="minorHAnsi"/>
        </w:rPr>
        <w:t>)</w:t>
      </w:r>
    </w:p>
    <w:p w14:paraId="784279FF" w14:textId="151D897F" w:rsidR="00B565B2" w:rsidRPr="00C37A27" w:rsidRDefault="00DA3B16" w:rsidP="00B565B2">
      <w:pPr>
        <w:pStyle w:val="BodyText"/>
        <w:numPr>
          <w:ilvl w:val="0"/>
          <w:numId w:val="5"/>
        </w:numPr>
        <w:spacing w:line="340" w:lineRule="exact"/>
        <w:jc w:val="both"/>
        <w:rPr>
          <w:rFonts w:asciiTheme="minorHAnsi" w:hAnsiTheme="minorHAnsi" w:cstheme="minorHAnsi"/>
          <w:u w:val="single"/>
        </w:rPr>
      </w:pPr>
      <w:r w:rsidRPr="00C37A27">
        <w:rPr>
          <w:rFonts w:asciiTheme="minorHAnsi" w:hAnsiTheme="minorHAnsi" w:cstheme="minorHAnsi"/>
        </w:rPr>
        <w:t>A</w:t>
      </w:r>
      <w:r w:rsidR="00262A0E">
        <w:rPr>
          <w:rFonts w:asciiTheme="minorHAnsi" w:hAnsiTheme="minorHAnsi" w:cstheme="minorHAnsi"/>
        </w:rPr>
        <w:t xml:space="preserve">n </w:t>
      </w:r>
      <w:r w:rsidRPr="00C37A27">
        <w:rPr>
          <w:rFonts w:asciiTheme="minorHAnsi" w:hAnsiTheme="minorHAnsi" w:cstheme="minorHAnsi"/>
        </w:rPr>
        <w:t>increase</w:t>
      </w:r>
      <w:r w:rsidR="00D86859" w:rsidRPr="00C37A27">
        <w:rPr>
          <w:rFonts w:asciiTheme="minorHAnsi" w:hAnsiTheme="minorHAnsi" w:cstheme="minorHAnsi"/>
        </w:rPr>
        <w:t xml:space="preserve"> in the net book value of investments </w:t>
      </w:r>
      <w:r w:rsidRPr="00C37A27">
        <w:rPr>
          <w:rFonts w:asciiTheme="minorHAnsi" w:hAnsiTheme="minorHAnsi" w:cstheme="minorHAnsi"/>
        </w:rPr>
        <w:t>to</w:t>
      </w:r>
      <w:r w:rsidR="00D86859" w:rsidRPr="00C37A27">
        <w:rPr>
          <w:rFonts w:asciiTheme="minorHAnsi" w:hAnsiTheme="minorHAnsi" w:cstheme="minorHAnsi"/>
        </w:rPr>
        <w:t xml:space="preserve"> £</w:t>
      </w:r>
      <w:r w:rsidRPr="00C37A27">
        <w:rPr>
          <w:rFonts w:asciiTheme="minorHAnsi" w:hAnsiTheme="minorHAnsi" w:cstheme="minorHAnsi"/>
        </w:rPr>
        <w:t>14,343,285</w:t>
      </w:r>
      <w:r w:rsidR="00D86859" w:rsidRPr="00C37A27">
        <w:rPr>
          <w:rFonts w:asciiTheme="minorHAnsi" w:hAnsiTheme="minorHAnsi" w:cstheme="minorHAnsi"/>
        </w:rPr>
        <w:t xml:space="preserve"> (</w:t>
      </w:r>
      <w:r w:rsidR="00F87DA9" w:rsidRPr="00C37A27">
        <w:rPr>
          <w:rFonts w:asciiTheme="minorHAnsi" w:hAnsiTheme="minorHAnsi" w:cstheme="minorHAnsi"/>
        </w:rPr>
        <w:t>31 December</w:t>
      </w:r>
      <w:r w:rsidR="00C8145F" w:rsidRPr="00C37A27">
        <w:rPr>
          <w:rFonts w:asciiTheme="minorHAnsi" w:hAnsiTheme="minorHAnsi" w:cstheme="minorHAnsi"/>
        </w:rPr>
        <w:t xml:space="preserve"> 2021</w:t>
      </w:r>
      <w:r w:rsidR="00D86859" w:rsidRPr="00C37A27">
        <w:rPr>
          <w:rFonts w:asciiTheme="minorHAnsi" w:hAnsiTheme="minorHAnsi" w:cstheme="minorHAnsi"/>
        </w:rPr>
        <w:t xml:space="preserve">: </w:t>
      </w:r>
      <w:r w:rsidR="00AE41CF" w:rsidRPr="00C37A27">
        <w:rPr>
          <w:rFonts w:asciiTheme="minorHAnsi" w:hAnsiTheme="minorHAnsi" w:cstheme="minorHAnsi"/>
        </w:rPr>
        <w:t>£</w:t>
      </w:r>
      <w:r w:rsidR="00F87DA9" w:rsidRPr="00C37A27">
        <w:rPr>
          <w:rFonts w:asciiTheme="minorHAnsi" w:hAnsiTheme="minorHAnsi" w:cstheme="minorHAnsi"/>
        </w:rPr>
        <w:t>6,697,305</w:t>
      </w:r>
      <w:r w:rsidR="00D86859" w:rsidRPr="00C37A27">
        <w:rPr>
          <w:rFonts w:asciiTheme="minorHAnsi" w:hAnsiTheme="minorHAnsi" w:cstheme="minorHAnsi"/>
        </w:rPr>
        <w:t>).</w:t>
      </w:r>
    </w:p>
    <w:p w14:paraId="1AF5352C" w14:textId="1BAA072D" w:rsidR="00B565B2" w:rsidRPr="00C37A27" w:rsidRDefault="00D86859" w:rsidP="00B565B2">
      <w:pPr>
        <w:pStyle w:val="BodyText"/>
        <w:numPr>
          <w:ilvl w:val="0"/>
          <w:numId w:val="5"/>
        </w:numPr>
        <w:spacing w:line="340" w:lineRule="exact"/>
        <w:jc w:val="both"/>
        <w:rPr>
          <w:rFonts w:asciiTheme="minorHAnsi" w:hAnsiTheme="minorHAnsi" w:cstheme="minorHAnsi"/>
          <w:u w:val="single"/>
        </w:rPr>
      </w:pPr>
      <w:r w:rsidRPr="00C37A27">
        <w:rPr>
          <w:rFonts w:asciiTheme="minorHAnsi" w:hAnsiTheme="minorHAnsi" w:cstheme="minorHAnsi"/>
        </w:rPr>
        <w:t>£</w:t>
      </w:r>
      <w:r w:rsidR="0086231C" w:rsidRPr="00C37A27">
        <w:rPr>
          <w:rFonts w:asciiTheme="minorHAnsi" w:hAnsiTheme="minorHAnsi" w:cstheme="minorHAnsi"/>
        </w:rPr>
        <w:t>7,645,980</w:t>
      </w:r>
      <w:r w:rsidRPr="00C37A27">
        <w:rPr>
          <w:rFonts w:asciiTheme="minorHAnsi" w:hAnsiTheme="minorHAnsi" w:cstheme="minorHAnsi"/>
        </w:rPr>
        <w:t xml:space="preserve"> gain on revaluation of investments and loans (H1 202</w:t>
      </w:r>
      <w:r w:rsidR="00767496" w:rsidRPr="00C37A27">
        <w:rPr>
          <w:rFonts w:asciiTheme="minorHAnsi" w:hAnsiTheme="minorHAnsi" w:cstheme="minorHAnsi"/>
        </w:rPr>
        <w:t>1</w:t>
      </w:r>
      <w:r w:rsidRPr="00C37A27">
        <w:rPr>
          <w:rFonts w:asciiTheme="minorHAnsi" w:hAnsiTheme="minorHAnsi" w:cstheme="minorHAnsi"/>
        </w:rPr>
        <w:t xml:space="preserve"> </w:t>
      </w:r>
      <w:r w:rsidR="00767496" w:rsidRPr="00C37A27">
        <w:rPr>
          <w:rFonts w:asciiTheme="minorHAnsi" w:hAnsiTheme="minorHAnsi" w:cstheme="minorHAnsi"/>
        </w:rPr>
        <w:t>gain</w:t>
      </w:r>
      <w:r w:rsidRPr="00C37A27">
        <w:rPr>
          <w:rFonts w:asciiTheme="minorHAnsi" w:hAnsiTheme="minorHAnsi" w:cstheme="minorHAnsi"/>
        </w:rPr>
        <w:t>: £</w:t>
      </w:r>
      <w:r w:rsidR="00CB41B1" w:rsidRPr="00C37A27">
        <w:rPr>
          <w:rFonts w:asciiTheme="minorHAnsi" w:hAnsiTheme="minorHAnsi" w:cstheme="minorHAnsi"/>
        </w:rPr>
        <w:t>488,335</w:t>
      </w:r>
      <w:r w:rsidRPr="00C37A27">
        <w:rPr>
          <w:rFonts w:asciiTheme="minorHAnsi" w:hAnsiTheme="minorHAnsi" w:cstheme="minorHAnsi"/>
        </w:rPr>
        <w:t>)</w:t>
      </w:r>
      <w:r w:rsidR="00262A0E">
        <w:rPr>
          <w:rFonts w:asciiTheme="minorHAnsi" w:hAnsiTheme="minorHAnsi" w:cstheme="minorHAnsi"/>
        </w:rPr>
        <w:t xml:space="preserve">.  </w:t>
      </w:r>
      <w:r w:rsidR="00262A0E" w:rsidRPr="00262A0E">
        <w:rPr>
          <w:rFonts w:asciiTheme="minorHAnsi" w:hAnsiTheme="minorHAnsi" w:cstheme="minorHAnsi"/>
        </w:rPr>
        <w:t>Th</w:t>
      </w:r>
      <w:r w:rsidR="00262A0E">
        <w:rPr>
          <w:rFonts w:asciiTheme="minorHAnsi" w:hAnsiTheme="minorHAnsi" w:cstheme="minorHAnsi"/>
        </w:rPr>
        <w:t>is</w:t>
      </w:r>
      <w:r w:rsidR="00262A0E" w:rsidRPr="00262A0E">
        <w:rPr>
          <w:rFonts w:asciiTheme="minorHAnsi" w:hAnsiTheme="minorHAnsi" w:cstheme="minorHAnsi"/>
        </w:rPr>
        <w:t xml:space="preserve"> increase in the value of investments brings the valuation of the additional 20% of the Podere Gallina licence acquired in the current period in-line with the valuation of the 17% already held at 31 December 2021.</w:t>
      </w:r>
    </w:p>
    <w:p w14:paraId="3CECECFD" w14:textId="23A532B0" w:rsidR="00B565B2" w:rsidRPr="00C37A27" w:rsidRDefault="00D86859" w:rsidP="00B565B2">
      <w:pPr>
        <w:pStyle w:val="BodyText"/>
        <w:numPr>
          <w:ilvl w:val="0"/>
          <w:numId w:val="5"/>
        </w:numPr>
        <w:spacing w:line="340" w:lineRule="exact"/>
        <w:jc w:val="both"/>
        <w:rPr>
          <w:rFonts w:asciiTheme="minorHAnsi" w:hAnsiTheme="minorHAnsi" w:cstheme="minorHAnsi"/>
          <w:u w:val="single"/>
        </w:rPr>
      </w:pPr>
      <w:r w:rsidRPr="00C37A27">
        <w:rPr>
          <w:rFonts w:asciiTheme="minorHAnsi" w:hAnsiTheme="minorHAnsi" w:cstheme="minorHAnsi"/>
        </w:rPr>
        <w:t>£</w:t>
      </w:r>
      <w:r w:rsidR="004D78D8" w:rsidRPr="00C37A27">
        <w:rPr>
          <w:rFonts w:asciiTheme="minorHAnsi" w:hAnsiTheme="minorHAnsi" w:cstheme="minorHAnsi"/>
        </w:rPr>
        <w:t>501,967</w:t>
      </w:r>
      <w:r w:rsidRPr="00C37A27">
        <w:rPr>
          <w:rFonts w:asciiTheme="minorHAnsi" w:hAnsiTheme="minorHAnsi" w:cstheme="minorHAnsi"/>
        </w:rPr>
        <w:t xml:space="preserve"> administrative expenses (H1 202</w:t>
      </w:r>
      <w:r w:rsidR="00CB41B1" w:rsidRPr="00C37A27">
        <w:rPr>
          <w:rFonts w:asciiTheme="minorHAnsi" w:hAnsiTheme="minorHAnsi" w:cstheme="minorHAnsi"/>
        </w:rPr>
        <w:t>1</w:t>
      </w:r>
      <w:r w:rsidRPr="00C37A27">
        <w:rPr>
          <w:rFonts w:asciiTheme="minorHAnsi" w:hAnsiTheme="minorHAnsi" w:cstheme="minorHAnsi"/>
        </w:rPr>
        <w:t>: £</w:t>
      </w:r>
      <w:r w:rsidR="00CB41B1" w:rsidRPr="00C37A27">
        <w:rPr>
          <w:rFonts w:asciiTheme="minorHAnsi" w:hAnsiTheme="minorHAnsi" w:cstheme="minorHAnsi"/>
        </w:rPr>
        <w:t>417,126</w:t>
      </w:r>
      <w:r w:rsidRPr="00C37A27">
        <w:rPr>
          <w:rFonts w:asciiTheme="minorHAnsi" w:hAnsiTheme="minorHAnsi" w:cstheme="minorHAnsi"/>
        </w:rPr>
        <w:t>)</w:t>
      </w:r>
    </w:p>
    <w:p w14:paraId="418F3C4D" w14:textId="049EBEF1" w:rsidR="00D86859" w:rsidRPr="00222811" w:rsidRDefault="00B67B43" w:rsidP="00B565B2">
      <w:pPr>
        <w:pStyle w:val="BodyText"/>
        <w:numPr>
          <w:ilvl w:val="0"/>
          <w:numId w:val="5"/>
        </w:numPr>
        <w:spacing w:line="340" w:lineRule="exact"/>
        <w:jc w:val="both"/>
        <w:rPr>
          <w:rFonts w:asciiTheme="minorHAnsi" w:hAnsiTheme="minorHAnsi" w:cstheme="minorHAnsi"/>
          <w:u w:val="single"/>
        </w:rPr>
      </w:pPr>
      <w:r>
        <w:rPr>
          <w:rFonts w:asciiTheme="minorHAnsi" w:hAnsiTheme="minorHAnsi" w:cstheme="minorHAnsi"/>
        </w:rPr>
        <w:t xml:space="preserve">Increased its stake in the Selva Gas Field in Po Valley to </w:t>
      </w:r>
      <w:r w:rsidRPr="003C70C1">
        <w:rPr>
          <w:rFonts w:asciiTheme="minorHAnsi" w:hAnsiTheme="minorHAnsi" w:cstheme="minorHAnsi"/>
        </w:rPr>
        <w:t>37%</w:t>
      </w:r>
      <w:r>
        <w:rPr>
          <w:rFonts w:asciiTheme="minorHAnsi" w:hAnsiTheme="minorHAnsi" w:cstheme="minorHAnsi"/>
        </w:rPr>
        <w:t xml:space="preserve"> following a s</w:t>
      </w:r>
      <w:r w:rsidR="00181B07">
        <w:rPr>
          <w:rFonts w:asciiTheme="minorHAnsi" w:hAnsiTheme="minorHAnsi" w:cstheme="minorHAnsi"/>
        </w:rPr>
        <w:t xml:space="preserve">uccessful fundraise of </w:t>
      </w:r>
      <w:r w:rsidR="00D86859" w:rsidRPr="00C37A27">
        <w:rPr>
          <w:rFonts w:asciiTheme="minorHAnsi" w:hAnsiTheme="minorHAnsi" w:cstheme="minorHAnsi"/>
        </w:rPr>
        <w:t>£</w:t>
      </w:r>
      <w:r w:rsidR="002034D3" w:rsidRPr="00C37A27">
        <w:rPr>
          <w:rFonts w:asciiTheme="minorHAnsi" w:hAnsiTheme="minorHAnsi" w:cstheme="minorHAnsi"/>
        </w:rPr>
        <w:t>2,</w:t>
      </w:r>
      <w:r w:rsidR="005D1D8F" w:rsidRPr="00C37A27">
        <w:rPr>
          <w:rFonts w:asciiTheme="minorHAnsi" w:hAnsiTheme="minorHAnsi" w:cstheme="minorHAnsi"/>
        </w:rPr>
        <w:t>45</w:t>
      </w:r>
      <w:r w:rsidR="00B11220" w:rsidRPr="00C37A27">
        <w:rPr>
          <w:rFonts w:asciiTheme="minorHAnsi" w:hAnsiTheme="minorHAnsi" w:cstheme="minorHAnsi"/>
        </w:rPr>
        <w:t>5</w:t>
      </w:r>
      <w:r w:rsidR="00D86859" w:rsidRPr="00C37A27">
        <w:rPr>
          <w:rFonts w:asciiTheme="minorHAnsi" w:hAnsiTheme="minorHAnsi" w:cstheme="minorHAnsi"/>
        </w:rPr>
        <w:t>,000</w:t>
      </w:r>
      <w:r>
        <w:rPr>
          <w:rFonts w:asciiTheme="minorHAnsi" w:hAnsiTheme="minorHAnsi" w:cstheme="minorHAnsi"/>
        </w:rPr>
        <w:t xml:space="preserve">. </w:t>
      </w:r>
      <w:r w:rsidR="00EF027F">
        <w:rPr>
          <w:rFonts w:asciiTheme="minorHAnsi" w:hAnsiTheme="minorHAnsi" w:cstheme="minorHAnsi"/>
        </w:rPr>
        <w:t xml:space="preserve"> </w:t>
      </w:r>
      <w:r>
        <w:rPr>
          <w:rFonts w:asciiTheme="minorHAnsi" w:hAnsiTheme="minorHAnsi" w:cstheme="minorHAnsi"/>
        </w:rPr>
        <w:t xml:space="preserve">The fundraising </w:t>
      </w:r>
      <w:r w:rsidR="00EF027F">
        <w:rPr>
          <w:rFonts w:asciiTheme="minorHAnsi" w:hAnsiTheme="minorHAnsi" w:cstheme="minorHAnsi"/>
        </w:rPr>
        <w:t>was</w:t>
      </w:r>
      <w:r>
        <w:rPr>
          <w:rFonts w:asciiTheme="minorHAnsi" w:hAnsiTheme="minorHAnsi" w:cstheme="minorHAnsi"/>
        </w:rPr>
        <w:t xml:space="preserve"> supported by existing institutional and retail investors, as well as Directors of the Company</w:t>
      </w:r>
      <w:r w:rsidR="00EF027F">
        <w:rPr>
          <w:rFonts w:asciiTheme="minorHAnsi" w:hAnsiTheme="minorHAnsi" w:cstheme="minorHAnsi"/>
        </w:rPr>
        <w:t>.</w:t>
      </w:r>
    </w:p>
    <w:p w14:paraId="072A184A" w14:textId="590FD0A8" w:rsidR="00E53AC5" w:rsidRPr="00C37A27" w:rsidRDefault="00E53AC5" w:rsidP="00E53AC5">
      <w:pPr>
        <w:pStyle w:val="ListParagraph"/>
        <w:widowControl w:val="0"/>
        <w:numPr>
          <w:ilvl w:val="0"/>
          <w:numId w:val="5"/>
        </w:numPr>
        <w:tabs>
          <w:tab w:val="left" w:pos="993"/>
        </w:tabs>
        <w:autoSpaceDE w:val="0"/>
        <w:autoSpaceDN w:val="0"/>
        <w:spacing w:after="120" w:line="340" w:lineRule="exact"/>
        <w:jc w:val="both"/>
        <w:rPr>
          <w:rFonts w:asciiTheme="minorHAnsi" w:hAnsiTheme="minorHAnsi" w:cstheme="minorHAnsi"/>
          <w:sz w:val="22"/>
          <w:szCs w:val="22"/>
        </w:rPr>
      </w:pPr>
      <w:r w:rsidRPr="00C37A27">
        <w:rPr>
          <w:rFonts w:asciiTheme="minorHAnsi" w:hAnsiTheme="minorHAnsi" w:cstheme="minorHAnsi"/>
          <w:sz w:val="22"/>
          <w:szCs w:val="22"/>
        </w:rPr>
        <w:t>VSA Capital Ltd</w:t>
      </w:r>
      <w:r>
        <w:rPr>
          <w:rFonts w:asciiTheme="minorHAnsi" w:hAnsiTheme="minorHAnsi" w:cstheme="minorHAnsi"/>
          <w:sz w:val="22"/>
          <w:szCs w:val="22"/>
        </w:rPr>
        <w:t xml:space="preserve"> appointed</w:t>
      </w:r>
      <w:r w:rsidRPr="00C37A27">
        <w:rPr>
          <w:rFonts w:asciiTheme="minorHAnsi" w:hAnsiTheme="minorHAnsi" w:cstheme="minorHAnsi"/>
          <w:sz w:val="22"/>
          <w:szCs w:val="22"/>
        </w:rPr>
        <w:t xml:space="preserve"> as its Joint Corporate Broker and Joint Financial Adviser</w:t>
      </w:r>
      <w:r w:rsidR="00EF027F">
        <w:rPr>
          <w:rFonts w:asciiTheme="minorHAnsi" w:hAnsiTheme="minorHAnsi" w:cstheme="minorHAnsi"/>
          <w:sz w:val="22"/>
          <w:szCs w:val="22"/>
        </w:rPr>
        <w:t>.</w:t>
      </w:r>
    </w:p>
    <w:p w14:paraId="4B710265" w14:textId="7875E068" w:rsidR="00116B24" w:rsidRDefault="00116B24" w:rsidP="00116B24">
      <w:pPr>
        <w:widowControl w:val="0"/>
        <w:tabs>
          <w:tab w:val="left" w:pos="993"/>
        </w:tabs>
        <w:autoSpaceDE w:val="0"/>
        <w:autoSpaceDN w:val="0"/>
        <w:spacing w:after="120" w:line="340" w:lineRule="exact"/>
        <w:ind w:left="360"/>
        <w:jc w:val="both"/>
        <w:rPr>
          <w:rFonts w:asciiTheme="minorHAnsi" w:hAnsiTheme="minorHAnsi" w:cstheme="minorHAnsi"/>
          <w:b/>
          <w:bCs/>
          <w:sz w:val="22"/>
          <w:szCs w:val="22"/>
        </w:rPr>
      </w:pPr>
      <w:r w:rsidRPr="00222811">
        <w:rPr>
          <w:rFonts w:asciiTheme="minorHAnsi" w:hAnsiTheme="minorHAnsi" w:cstheme="minorHAnsi"/>
          <w:b/>
          <w:bCs/>
          <w:sz w:val="22"/>
          <w:szCs w:val="22"/>
        </w:rPr>
        <w:t>Post period end:</w:t>
      </w:r>
    </w:p>
    <w:p w14:paraId="5D2EF396" w14:textId="24DE6844" w:rsidR="00116B24" w:rsidRPr="00222811" w:rsidRDefault="00A200AB" w:rsidP="0098683A">
      <w:pPr>
        <w:pStyle w:val="ListParagraph"/>
        <w:widowControl w:val="0"/>
        <w:numPr>
          <w:ilvl w:val="0"/>
          <w:numId w:val="5"/>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 xml:space="preserve">Successfully raised </w:t>
      </w:r>
      <w:r w:rsidR="00695FE8" w:rsidRPr="00695FE8">
        <w:rPr>
          <w:rFonts w:asciiTheme="minorHAnsi" w:hAnsiTheme="minorHAnsi" w:cstheme="minorHAnsi"/>
          <w:sz w:val="22"/>
          <w:szCs w:val="22"/>
        </w:rPr>
        <w:t>£2,370,000</w:t>
      </w:r>
      <w:r w:rsidR="0050561A">
        <w:rPr>
          <w:rFonts w:asciiTheme="minorHAnsi" w:hAnsiTheme="minorHAnsi" w:cstheme="minorHAnsi"/>
          <w:sz w:val="22"/>
          <w:szCs w:val="22"/>
        </w:rPr>
        <w:t>, in aggregate,</w:t>
      </w:r>
      <w:r>
        <w:rPr>
          <w:rFonts w:asciiTheme="minorHAnsi" w:hAnsiTheme="minorHAnsi" w:cstheme="minorHAnsi"/>
          <w:sz w:val="22"/>
          <w:szCs w:val="22"/>
        </w:rPr>
        <w:t xml:space="preserve"> through the issue of </w:t>
      </w:r>
      <w:r w:rsidR="0050561A">
        <w:rPr>
          <w:rFonts w:asciiTheme="minorHAnsi" w:hAnsiTheme="minorHAnsi" w:cstheme="minorHAnsi"/>
          <w:sz w:val="22"/>
          <w:szCs w:val="22"/>
        </w:rPr>
        <w:t xml:space="preserve">two separate </w:t>
      </w:r>
      <w:r>
        <w:rPr>
          <w:rFonts w:asciiTheme="minorHAnsi" w:hAnsiTheme="minorHAnsi" w:cstheme="minorHAnsi"/>
          <w:sz w:val="22"/>
          <w:szCs w:val="22"/>
        </w:rPr>
        <w:t xml:space="preserve">unsecured Convertible Loan Notes to existing and new investors, </w:t>
      </w:r>
      <w:r w:rsidR="0050561A">
        <w:rPr>
          <w:rFonts w:asciiTheme="minorHAnsi" w:hAnsiTheme="minorHAnsi" w:cstheme="minorHAnsi"/>
          <w:sz w:val="22"/>
          <w:szCs w:val="22"/>
        </w:rPr>
        <w:t xml:space="preserve">with participation of </w:t>
      </w:r>
      <w:r>
        <w:rPr>
          <w:rFonts w:asciiTheme="minorHAnsi" w:hAnsiTheme="minorHAnsi" w:cstheme="minorHAnsi"/>
          <w:sz w:val="22"/>
          <w:szCs w:val="22"/>
        </w:rPr>
        <w:t xml:space="preserve">all </w:t>
      </w:r>
      <w:r w:rsidR="0050561A">
        <w:rPr>
          <w:rFonts w:asciiTheme="minorHAnsi" w:hAnsiTheme="minorHAnsi" w:cstheme="minorHAnsi"/>
          <w:sz w:val="22"/>
          <w:szCs w:val="22"/>
        </w:rPr>
        <w:t xml:space="preserve">of </w:t>
      </w:r>
      <w:r>
        <w:rPr>
          <w:rFonts w:asciiTheme="minorHAnsi" w:hAnsiTheme="minorHAnsi" w:cstheme="minorHAnsi"/>
          <w:sz w:val="22"/>
          <w:szCs w:val="22"/>
        </w:rPr>
        <w:t>the director</w:t>
      </w:r>
      <w:r w:rsidR="00FC430A">
        <w:rPr>
          <w:rFonts w:asciiTheme="minorHAnsi" w:hAnsiTheme="minorHAnsi" w:cstheme="minorHAnsi"/>
          <w:sz w:val="22"/>
          <w:szCs w:val="22"/>
        </w:rPr>
        <w:t>s of the Company</w:t>
      </w:r>
      <w:r w:rsidR="0050561A">
        <w:rPr>
          <w:rFonts w:asciiTheme="minorHAnsi" w:hAnsiTheme="minorHAnsi" w:cstheme="minorHAnsi"/>
          <w:sz w:val="22"/>
          <w:szCs w:val="22"/>
        </w:rPr>
        <w:t xml:space="preserve"> in the first issue</w:t>
      </w:r>
      <w:r w:rsidR="00FC430A">
        <w:rPr>
          <w:rFonts w:asciiTheme="minorHAnsi" w:hAnsiTheme="minorHAnsi" w:cstheme="minorHAnsi"/>
          <w:sz w:val="22"/>
          <w:szCs w:val="22"/>
        </w:rPr>
        <w:t xml:space="preserve">. </w:t>
      </w:r>
      <w:r w:rsidR="00C84AFC">
        <w:rPr>
          <w:rFonts w:asciiTheme="minorHAnsi" w:hAnsiTheme="minorHAnsi" w:cstheme="minorHAnsi"/>
          <w:sz w:val="22"/>
          <w:szCs w:val="22"/>
        </w:rPr>
        <w:t xml:space="preserve"> </w:t>
      </w:r>
      <w:r w:rsidR="00FC430A">
        <w:rPr>
          <w:rFonts w:asciiTheme="minorHAnsi" w:hAnsiTheme="minorHAnsi" w:cstheme="minorHAnsi"/>
          <w:sz w:val="22"/>
          <w:szCs w:val="22"/>
        </w:rPr>
        <w:t>The debt/equity hybrid financing</w:t>
      </w:r>
      <w:r w:rsidR="00D95AA6">
        <w:rPr>
          <w:rFonts w:asciiTheme="minorHAnsi" w:hAnsiTheme="minorHAnsi" w:cstheme="minorHAnsi"/>
          <w:sz w:val="22"/>
          <w:szCs w:val="22"/>
        </w:rPr>
        <w:t>, plus the exercise of remaining warrants and some outstanding options,</w:t>
      </w:r>
      <w:r w:rsidR="00FC430A">
        <w:rPr>
          <w:rFonts w:asciiTheme="minorHAnsi" w:hAnsiTheme="minorHAnsi" w:cstheme="minorHAnsi"/>
          <w:sz w:val="22"/>
          <w:szCs w:val="22"/>
        </w:rPr>
        <w:t xml:space="preserve"> allows the Company to fund all expected development costs to first gas expected in Q2 2023.</w:t>
      </w:r>
    </w:p>
    <w:p w14:paraId="271B730B" w14:textId="77777777" w:rsidR="00457067" w:rsidRPr="00C37A27" w:rsidRDefault="00457067" w:rsidP="00457067">
      <w:pPr>
        <w:widowControl w:val="0"/>
        <w:tabs>
          <w:tab w:val="left" w:pos="911"/>
        </w:tabs>
        <w:autoSpaceDE w:val="0"/>
        <w:autoSpaceDN w:val="0"/>
        <w:spacing w:line="340" w:lineRule="exact"/>
        <w:jc w:val="both"/>
        <w:rPr>
          <w:rFonts w:asciiTheme="minorHAnsi" w:hAnsiTheme="minorHAnsi" w:cstheme="minorHAnsi"/>
          <w:sz w:val="22"/>
          <w:szCs w:val="22"/>
        </w:rPr>
      </w:pPr>
    </w:p>
    <w:p w14:paraId="14E24044" w14:textId="0682B180" w:rsidR="00C6183A" w:rsidRDefault="00457067" w:rsidP="00457067">
      <w:pPr>
        <w:pStyle w:val="BodyText"/>
        <w:spacing w:after="120" w:line="340" w:lineRule="exact"/>
        <w:ind w:left="0"/>
        <w:jc w:val="both"/>
        <w:rPr>
          <w:rFonts w:asciiTheme="minorHAnsi" w:hAnsiTheme="minorHAnsi" w:cstheme="minorHAnsi"/>
          <w:b/>
          <w:bCs/>
        </w:rPr>
      </w:pPr>
      <w:r>
        <w:rPr>
          <w:rFonts w:asciiTheme="minorHAnsi" w:hAnsiTheme="minorHAnsi" w:cstheme="minorHAnsi"/>
          <w:b/>
          <w:bCs/>
        </w:rPr>
        <w:t xml:space="preserve">Commenting on the </w:t>
      </w:r>
      <w:r w:rsidR="00C6183A">
        <w:rPr>
          <w:rFonts w:asciiTheme="minorHAnsi" w:hAnsiTheme="minorHAnsi" w:cstheme="minorHAnsi"/>
          <w:b/>
          <w:bCs/>
        </w:rPr>
        <w:t>half-year</w:t>
      </w:r>
      <w:r>
        <w:rPr>
          <w:rFonts w:asciiTheme="minorHAnsi" w:hAnsiTheme="minorHAnsi" w:cstheme="minorHAnsi"/>
          <w:b/>
          <w:bCs/>
        </w:rPr>
        <w:t xml:space="preserve"> results</w:t>
      </w:r>
      <w:r w:rsidR="00C6183A">
        <w:rPr>
          <w:rFonts w:asciiTheme="minorHAnsi" w:hAnsiTheme="minorHAnsi" w:cstheme="minorHAnsi"/>
          <w:b/>
          <w:bCs/>
        </w:rPr>
        <w:t xml:space="preserve"> </w:t>
      </w:r>
      <w:r w:rsidRPr="00C37A27">
        <w:rPr>
          <w:rFonts w:asciiTheme="minorHAnsi" w:hAnsiTheme="minorHAnsi" w:cstheme="minorHAnsi"/>
          <w:b/>
          <w:bCs/>
        </w:rPr>
        <w:t>Mark Routh, CEO of Prospex, said</w:t>
      </w:r>
      <w:r w:rsidR="00C6183A">
        <w:rPr>
          <w:rFonts w:asciiTheme="minorHAnsi" w:hAnsiTheme="minorHAnsi" w:cstheme="minorHAnsi"/>
          <w:b/>
          <w:bCs/>
        </w:rPr>
        <w:t>:</w:t>
      </w:r>
    </w:p>
    <w:p w14:paraId="4BD54976" w14:textId="1D1ADFF9" w:rsidR="00063164" w:rsidRDefault="00457067" w:rsidP="0045706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“Prospex has had a very busy year with </w:t>
      </w:r>
      <w:r w:rsidR="00C6183A">
        <w:rPr>
          <w:rFonts w:asciiTheme="minorHAnsi" w:hAnsiTheme="minorHAnsi" w:cstheme="minorHAnsi"/>
        </w:rPr>
        <w:t xml:space="preserve">outstanding progress made across </w:t>
      </w:r>
      <w:r w:rsidR="00C3701A">
        <w:rPr>
          <w:rFonts w:asciiTheme="minorHAnsi" w:hAnsiTheme="minorHAnsi" w:cstheme="minorHAnsi"/>
        </w:rPr>
        <w:t>both our investments, Selva and El R</w:t>
      </w:r>
      <w:r w:rsidR="00B0005B">
        <w:rPr>
          <w:rFonts w:asciiTheme="minorHAnsi" w:hAnsiTheme="minorHAnsi" w:cstheme="minorHAnsi"/>
        </w:rPr>
        <w:t>ome</w:t>
      </w:r>
      <w:r w:rsidR="00C3701A">
        <w:rPr>
          <w:rFonts w:asciiTheme="minorHAnsi" w:hAnsiTheme="minorHAnsi" w:cstheme="minorHAnsi"/>
        </w:rPr>
        <w:t xml:space="preserve">ral. </w:t>
      </w:r>
      <w:r w:rsidR="00350BCC">
        <w:rPr>
          <w:rFonts w:asciiTheme="minorHAnsi" w:hAnsiTheme="minorHAnsi" w:cstheme="minorHAnsi"/>
        </w:rPr>
        <w:t xml:space="preserve"> </w:t>
      </w:r>
      <w:r w:rsidR="005872F7">
        <w:rPr>
          <w:rFonts w:asciiTheme="minorHAnsi" w:hAnsiTheme="minorHAnsi" w:cstheme="minorHAnsi"/>
        </w:rPr>
        <w:t xml:space="preserve">The Company’s acquisition of the El Romeral gas concessions </w:t>
      </w:r>
      <w:r w:rsidR="001127BB">
        <w:rPr>
          <w:rFonts w:asciiTheme="minorHAnsi" w:hAnsiTheme="minorHAnsi" w:cstheme="minorHAnsi"/>
        </w:rPr>
        <w:t>has proved to be an outstanding success.</w:t>
      </w:r>
      <w:r w:rsidR="00695FE8">
        <w:rPr>
          <w:rFonts w:asciiTheme="minorHAnsi" w:hAnsiTheme="minorHAnsi" w:cstheme="minorHAnsi"/>
        </w:rPr>
        <w:t xml:space="preserve"> </w:t>
      </w:r>
      <w:r w:rsidR="001127BB">
        <w:rPr>
          <w:rFonts w:asciiTheme="minorHAnsi" w:hAnsiTheme="minorHAnsi" w:cstheme="minorHAnsi"/>
        </w:rPr>
        <w:t xml:space="preserve"> </w:t>
      </w:r>
      <w:r w:rsidR="00334B47">
        <w:rPr>
          <w:rFonts w:asciiTheme="minorHAnsi" w:hAnsiTheme="minorHAnsi" w:cstheme="minorHAnsi"/>
        </w:rPr>
        <w:t>Operational improvements, including</w:t>
      </w:r>
      <w:r w:rsidR="00EE1CA6">
        <w:rPr>
          <w:rFonts w:asciiTheme="minorHAnsi" w:hAnsiTheme="minorHAnsi" w:cstheme="minorHAnsi"/>
        </w:rPr>
        <w:t xml:space="preserve"> the full automation of the p</w:t>
      </w:r>
      <w:r w:rsidR="00D92CE0">
        <w:rPr>
          <w:rFonts w:asciiTheme="minorHAnsi" w:hAnsiTheme="minorHAnsi" w:cstheme="minorHAnsi"/>
        </w:rPr>
        <w:t>lant</w:t>
      </w:r>
      <w:r w:rsidR="00C12791">
        <w:rPr>
          <w:rFonts w:asciiTheme="minorHAnsi" w:hAnsiTheme="minorHAnsi" w:cstheme="minorHAnsi"/>
        </w:rPr>
        <w:t>,</w:t>
      </w:r>
      <w:r w:rsidR="00D92CE0">
        <w:rPr>
          <w:rFonts w:asciiTheme="minorHAnsi" w:hAnsiTheme="minorHAnsi" w:cstheme="minorHAnsi"/>
        </w:rPr>
        <w:t xml:space="preserve"> have allowed us to run the plant 24 hours a day 7 days a week, increasing output and revenues</w:t>
      </w:r>
      <w:r w:rsidR="00063164">
        <w:rPr>
          <w:rFonts w:asciiTheme="minorHAnsi" w:hAnsiTheme="minorHAnsi" w:cstheme="minorHAnsi"/>
        </w:rPr>
        <w:t xml:space="preserve"> at a time when electricity prices were averaging more than four times the prices achieved </w:t>
      </w:r>
      <w:r w:rsidR="00F72334">
        <w:rPr>
          <w:rFonts w:asciiTheme="minorHAnsi" w:hAnsiTheme="minorHAnsi" w:cstheme="minorHAnsi"/>
        </w:rPr>
        <w:t>for the same period l</w:t>
      </w:r>
      <w:r w:rsidR="00063164">
        <w:rPr>
          <w:rFonts w:asciiTheme="minorHAnsi" w:hAnsiTheme="minorHAnsi" w:cstheme="minorHAnsi"/>
        </w:rPr>
        <w:t xml:space="preserve">ast year. </w:t>
      </w:r>
    </w:p>
    <w:p w14:paraId="043184B9" w14:textId="3D75BBFC" w:rsidR="00FC6C89" w:rsidRDefault="00063164" w:rsidP="00457067">
      <w:pPr>
        <w:pStyle w:val="BodyText"/>
        <w:spacing w:after="120" w:line="340" w:lineRule="exact"/>
        <w:ind w:left="0"/>
        <w:jc w:val="both"/>
        <w:rPr>
          <w:rFonts w:asciiTheme="minorHAnsi" w:hAnsiTheme="minorHAnsi" w:cstheme="minorHAnsi"/>
        </w:rPr>
      </w:pPr>
      <w:r>
        <w:rPr>
          <w:rFonts w:asciiTheme="minorHAnsi" w:hAnsiTheme="minorHAnsi" w:cstheme="minorHAnsi"/>
        </w:rPr>
        <w:t>“</w:t>
      </w:r>
      <w:r w:rsidR="001E3657">
        <w:rPr>
          <w:rFonts w:asciiTheme="minorHAnsi" w:hAnsiTheme="minorHAnsi" w:cstheme="minorHAnsi"/>
        </w:rPr>
        <w:t xml:space="preserve">At Selva, we are </w:t>
      </w:r>
      <w:r w:rsidR="00B52E6D">
        <w:rPr>
          <w:rFonts w:asciiTheme="minorHAnsi" w:hAnsiTheme="minorHAnsi" w:cstheme="minorHAnsi"/>
        </w:rPr>
        <w:t xml:space="preserve">one step closer to production following </w:t>
      </w:r>
      <w:r w:rsidR="00AB61D3">
        <w:rPr>
          <w:rFonts w:asciiTheme="minorHAnsi" w:hAnsiTheme="minorHAnsi" w:cstheme="minorHAnsi"/>
        </w:rPr>
        <w:t>the approval of the Production Concession</w:t>
      </w:r>
      <w:r w:rsidR="00171649">
        <w:rPr>
          <w:rFonts w:asciiTheme="minorHAnsi" w:hAnsiTheme="minorHAnsi" w:cstheme="minorHAnsi"/>
        </w:rPr>
        <w:t xml:space="preserve"> by the Italian authorities</w:t>
      </w:r>
      <w:r w:rsidR="000E0F01">
        <w:rPr>
          <w:rFonts w:asciiTheme="minorHAnsi" w:hAnsiTheme="minorHAnsi" w:cstheme="minorHAnsi"/>
        </w:rPr>
        <w:t xml:space="preserve"> and the appointment of </w:t>
      </w:r>
      <w:r w:rsidR="006C6355">
        <w:rPr>
          <w:rFonts w:asciiTheme="minorHAnsi" w:hAnsiTheme="minorHAnsi" w:cstheme="minorHAnsi"/>
        </w:rPr>
        <w:t xml:space="preserve">building contractors.  </w:t>
      </w:r>
      <w:r w:rsidR="00057D67">
        <w:rPr>
          <w:rFonts w:asciiTheme="minorHAnsi" w:hAnsiTheme="minorHAnsi" w:cstheme="minorHAnsi"/>
        </w:rPr>
        <w:t xml:space="preserve">Recent funding during and </w:t>
      </w:r>
      <w:r w:rsidR="00FC6C89">
        <w:rPr>
          <w:rFonts w:asciiTheme="minorHAnsi" w:hAnsiTheme="minorHAnsi" w:cstheme="minorHAnsi"/>
        </w:rPr>
        <w:t>post-</w:t>
      </w:r>
      <w:r w:rsidR="00FC6C89">
        <w:rPr>
          <w:rFonts w:asciiTheme="minorHAnsi" w:hAnsiTheme="minorHAnsi" w:cstheme="minorHAnsi"/>
        </w:rPr>
        <w:lastRenderedPageBreak/>
        <w:t>period,</w:t>
      </w:r>
      <w:r w:rsidR="009A6B68">
        <w:rPr>
          <w:rFonts w:asciiTheme="minorHAnsi" w:hAnsiTheme="minorHAnsi" w:cstheme="minorHAnsi"/>
        </w:rPr>
        <w:t xml:space="preserve"> allowed us to increase our stake in Selva to 37%</w:t>
      </w:r>
      <w:r w:rsidR="00237E93">
        <w:rPr>
          <w:rFonts w:asciiTheme="minorHAnsi" w:hAnsiTheme="minorHAnsi" w:cstheme="minorHAnsi"/>
        </w:rPr>
        <w:t xml:space="preserve"> and also, along with </w:t>
      </w:r>
      <w:r w:rsidR="006337EB">
        <w:rPr>
          <w:rFonts w:asciiTheme="minorHAnsi" w:hAnsiTheme="minorHAnsi" w:cstheme="minorHAnsi"/>
        </w:rPr>
        <w:t>the operator Po Valley, have sufficient funds to achieve first gas</w:t>
      </w:r>
      <w:r w:rsidR="00AB61D3">
        <w:rPr>
          <w:rFonts w:asciiTheme="minorHAnsi" w:hAnsiTheme="minorHAnsi" w:cstheme="minorHAnsi"/>
        </w:rPr>
        <w:t xml:space="preserve"> </w:t>
      </w:r>
      <w:r w:rsidR="0001523E">
        <w:rPr>
          <w:rFonts w:asciiTheme="minorHAnsi" w:hAnsiTheme="minorHAnsi" w:cstheme="minorHAnsi"/>
        </w:rPr>
        <w:t xml:space="preserve">in the second quarter of 2023. </w:t>
      </w:r>
    </w:p>
    <w:p w14:paraId="63194722" w14:textId="2B0F16E5" w:rsidR="00457067" w:rsidRPr="00C37A27" w:rsidRDefault="00FC6C89" w:rsidP="00457067">
      <w:pPr>
        <w:pStyle w:val="BodyText"/>
        <w:spacing w:after="120" w:line="340" w:lineRule="exact"/>
        <w:ind w:left="0"/>
        <w:jc w:val="both"/>
        <w:rPr>
          <w:rFonts w:asciiTheme="minorHAnsi" w:hAnsiTheme="minorHAnsi" w:cstheme="minorHAnsi"/>
        </w:rPr>
      </w:pPr>
      <w:r>
        <w:rPr>
          <w:rFonts w:asciiTheme="minorHAnsi" w:hAnsiTheme="minorHAnsi" w:cstheme="minorHAnsi"/>
        </w:rPr>
        <w:t>“Looking ahead, the Company is in a strong</w:t>
      </w:r>
      <w:r w:rsidR="00E85D48">
        <w:rPr>
          <w:rFonts w:asciiTheme="minorHAnsi" w:hAnsiTheme="minorHAnsi" w:cstheme="minorHAnsi"/>
        </w:rPr>
        <w:t xml:space="preserve"> financial</w:t>
      </w:r>
      <w:r>
        <w:rPr>
          <w:rFonts w:asciiTheme="minorHAnsi" w:hAnsiTheme="minorHAnsi" w:cstheme="minorHAnsi"/>
        </w:rPr>
        <w:t xml:space="preserve"> position to deliver on its strategy</w:t>
      </w:r>
      <w:r w:rsidR="00E85D48">
        <w:rPr>
          <w:rFonts w:asciiTheme="minorHAnsi" w:hAnsiTheme="minorHAnsi" w:cstheme="minorHAnsi"/>
        </w:rPr>
        <w:t xml:space="preserve"> as well </w:t>
      </w:r>
      <w:r w:rsidR="00FE4DB1">
        <w:rPr>
          <w:rFonts w:asciiTheme="minorHAnsi" w:hAnsiTheme="minorHAnsi" w:cstheme="minorHAnsi"/>
        </w:rPr>
        <w:t>as</w:t>
      </w:r>
      <w:r w:rsidR="006C4475">
        <w:rPr>
          <w:rFonts w:asciiTheme="minorHAnsi" w:hAnsiTheme="minorHAnsi" w:cstheme="minorHAnsi"/>
        </w:rPr>
        <w:t xml:space="preserve"> identify</w:t>
      </w:r>
      <w:r w:rsidR="004215FA">
        <w:rPr>
          <w:rFonts w:asciiTheme="minorHAnsi" w:hAnsiTheme="minorHAnsi" w:cstheme="minorHAnsi"/>
        </w:rPr>
        <w:t xml:space="preserve"> and invest </w:t>
      </w:r>
      <w:r w:rsidR="00180D4B">
        <w:rPr>
          <w:rFonts w:asciiTheme="minorHAnsi" w:hAnsiTheme="minorHAnsi" w:cstheme="minorHAnsi"/>
        </w:rPr>
        <w:t>in new opportunities.</w:t>
      </w:r>
      <w:r w:rsidR="00695FE8">
        <w:rPr>
          <w:rFonts w:asciiTheme="minorHAnsi" w:hAnsiTheme="minorHAnsi" w:cstheme="minorHAnsi"/>
        </w:rPr>
        <w:t xml:space="preserve"> </w:t>
      </w:r>
      <w:r w:rsidR="00180D4B">
        <w:rPr>
          <w:rFonts w:asciiTheme="minorHAnsi" w:hAnsiTheme="minorHAnsi" w:cstheme="minorHAnsi"/>
        </w:rPr>
        <w:t xml:space="preserve"> I would like to thank our investors, </w:t>
      </w:r>
      <w:r w:rsidR="00DE3C2E">
        <w:rPr>
          <w:rFonts w:asciiTheme="minorHAnsi" w:hAnsiTheme="minorHAnsi" w:cstheme="minorHAnsi"/>
        </w:rPr>
        <w:t>directors</w:t>
      </w:r>
      <w:r w:rsidR="004509B0">
        <w:rPr>
          <w:rFonts w:asciiTheme="minorHAnsi" w:hAnsiTheme="minorHAnsi" w:cstheme="minorHAnsi"/>
        </w:rPr>
        <w:t>,</w:t>
      </w:r>
      <w:r w:rsidR="00DE3C2E">
        <w:rPr>
          <w:rFonts w:asciiTheme="minorHAnsi" w:hAnsiTheme="minorHAnsi" w:cstheme="minorHAnsi"/>
        </w:rPr>
        <w:t xml:space="preserve"> and staff </w:t>
      </w:r>
      <w:r w:rsidR="00E14E32">
        <w:rPr>
          <w:rFonts w:asciiTheme="minorHAnsi" w:hAnsiTheme="minorHAnsi" w:cstheme="minorHAnsi"/>
        </w:rPr>
        <w:t xml:space="preserve">for their continued support, </w:t>
      </w:r>
      <w:r w:rsidR="00DE3C2E">
        <w:rPr>
          <w:rFonts w:asciiTheme="minorHAnsi" w:hAnsiTheme="minorHAnsi" w:cstheme="minorHAnsi"/>
        </w:rPr>
        <w:t xml:space="preserve">and </w:t>
      </w:r>
      <w:r w:rsidR="004509B0">
        <w:rPr>
          <w:rFonts w:asciiTheme="minorHAnsi" w:hAnsiTheme="minorHAnsi" w:cstheme="minorHAnsi"/>
        </w:rPr>
        <w:t>congratulate our</w:t>
      </w:r>
      <w:r w:rsidR="00DE3C2E">
        <w:rPr>
          <w:rFonts w:asciiTheme="minorHAnsi" w:hAnsiTheme="minorHAnsi" w:cstheme="minorHAnsi"/>
        </w:rPr>
        <w:t xml:space="preserve"> project partners and operators for </w:t>
      </w:r>
      <w:r w:rsidR="004509B0">
        <w:rPr>
          <w:rFonts w:asciiTheme="minorHAnsi" w:hAnsiTheme="minorHAnsi" w:cstheme="minorHAnsi"/>
        </w:rPr>
        <w:t>their achievements during the last six months.”</w:t>
      </w:r>
    </w:p>
    <w:p w14:paraId="023A8AE6" w14:textId="77777777" w:rsidR="00B565B2" w:rsidRPr="00C37A27" w:rsidRDefault="00B565B2" w:rsidP="00B565B2">
      <w:pPr>
        <w:pStyle w:val="BodyText"/>
        <w:spacing w:line="340" w:lineRule="exact"/>
        <w:ind w:left="720"/>
        <w:jc w:val="both"/>
        <w:rPr>
          <w:rFonts w:asciiTheme="minorHAnsi" w:hAnsiTheme="minorHAnsi" w:cstheme="minorHAnsi"/>
          <w:u w:val="single"/>
        </w:rPr>
      </w:pPr>
    </w:p>
    <w:p w14:paraId="5ADECE22" w14:textId="23E0E731" w:rsidR="00B565B2" w:rsidRDefault="00D05BA0" w:rsidP="00396193">
      <w:pPr>
        <w:pStyle w:val="BodyText"/>
        <w:spacing w:line="340" w:lineRule="exact"/>
        <w:ind w:left="0" w:right="435"/>
        <w:rPr>
          <w:rFonts w:asciiTheme="minorHAnsi" w:hAnsiTheme="minorHAnsi" w:cstheme="minorHAnsi"/>
          <w:b/>
          <w:bCs/>
        </w:rPr>
      </w:pPr>
      <w:r w:rsidRPr="00222811">
        <w:rPr>
          <w:rFonts w:asciiTheme="minorHAnsi" w:hAnsiTheme="minorHAnsi" w:cstheme="minorHAnsi"/>
          <w:b/>
          <w:bCs/>
        </w:rPr>
        <w:t>Operational</w:t>
      </w:r>
      <w:r w:rsidR="00E34679">
        <w:rPr>
          <w:rFonts w:asciiTheme="minorHAnsi" w:hAnsiTheme="minorHAnsi" w:cstheme="minorHAnsi"/>
          <w:b/>
          <w:bCs/>
        </w:rPr>
        <w:t xml:space="preserve"> Highlights:</w:t>
      </w:r>
    </w:p>
    <w:p w14:paraId="0A0058D7" w14:textId="1DD03077" w:rsidR="00E34679" w:rsidRDefault="00E34679" w:rsidP="00396193">
      <w:pPr>
        <w:pStyle w:val="BodyText"/>
        <w:spacing w:line="340" w:lineRule="exact"/>
        <w:ind w:left="0" w:right="435"/>
        <w:rPr>
          <w:rFonts w:asciiTheme="minorHAnsi" w:hAnsiTheme="minorHAnsi" w:cstheme="minorHAnsi"/>
        </w:rPr>
      </w:pPr>
      <w:r>
        <w:rPr>
          <w:rFonts w:asciiTheme="minorHAnsi" w:hAnsiTheme="minorHAnsi" w:cstheme="minorHAnsi"/>
        </w:rPr>
        <w:t>The Company made significant progress in the first six months of the financial year:</w:t>
      </w:r>
    </w:p>
    <w:p w14:paraId="40407649" w14:textId="71C771EB" w:rsidR="00E34679" w:rsidRDefault="00E34679" w:rsidP="00396193">
      <w:pPr>
        <w:pStyle w:val="BodyText"/>
        <w:spacing w:line="340" w:lineRule="exact"/>
        <w:ind w:left="0" w:right="435"/>
        <w:rPr>
          <w:rFonts w:asciiTheme="minorHAnsi" w:hAnsiTheme="minorHAnsi" w:cstheme="minorHAnsi"/>
        </w:rPr>
      </w:pPr>
    </w:p>
    <w:p w14:paraId="0B6A361E" w14:textId="69717AC8" w:rsidR="00E34679" w:rsidRPr="00222811" w:rsidRDefault="00E34679" w:rsidP="00396193">
      <w:pPr>
        <w:pStyle w:val="BodyText"/>
        <w:spacing w:line="340" w:lineRule="exact"/>
        <w:ind w:left="0" w:right="435"/>
        <w:rPr>
          <w:rFonts w:asciiTheme="minorHAnsi" w:hAnsiTheme="minorHAnsi" w:cstheme="minorHAnsi"/>
          <w:b/>
          <w:bCs/>
          <w:u w:val="single"/>
        </w:rPr>
      </w:pPr>
      <w:r w:rsidRPr="00222811">
        <w:rPr>
          <w:rFonts w:asciiTheme="minorHAnsi" w:hAnsiTheme="minorHAnsi" w:cstheme="minorHAnsi"/>
          <w:b/>
          <w:bCs/>
          <w:u w:val="single"/>
        </w:rPr>
        <w:t>Selva Field in Italy (37% interest)</w:t>
      </w:r>
    </w:p>
    <w:p w14:paraId="68A5FC5C" w14:textId="54A68C3D" w:rsidR="002A01BF" w:rsidRDefault="00181B07" w:rsidP="002A01BF">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rPr>
        <w:t>I</w:t>
      </w:r>
      <w:bookmarkStart w:id="0" w:name="_Hlk114220484"/>
      <w:r w:rsidR="002A01BF" w:rsidRPr="00C37A27">
        <w:rPr>
          <w:rFonts w:asciiTheme="minorHAnsi" w:hAnsiTheme="minorHAnsi" w:cstheme="minorHAnsi"/>
          <w:sz w:val="22"/>
          <w:szCs w:val="22"/>
        </w:rPr>
        <w:t>nstallation of the seismic monitoring network</w:t>
      </w:r>
      <w:r w:rsidR="009E395C">
        <w:rPr>
          <w:rFonts w:asciiTheme="minorHAnsi" w:hAnsiTheme="minorHAnsi" w:cstheme="minorHAnsi"/>
          <w:sz w:val="22"/>
          <w:szCs w:val="22"/>
        </w:rPr>
        <w:t xml:space="preserve"> by Po Valley, the operator, </w:t>
      </w:r>
      <w:r>
        <w:rPr>
          <w:rFonts w:asciiTheme="minorHAnsi" w:hAnsiTheme="minorHAnsi" w:cstheme="minorHAnsi"/>
          <w:sz w:val="22"/>
          <w:szCs w:val="22"/>
        </w:rPr>
        <w:t>starts ahead of schedule</w:t>
      </w:r>
      <w:r w:rsidR="00695FE8">
        <w:rPr>
          <w:rFonts w:asciiTheme="minorHAnsi" w:hAnsiTheme="minorHAnsi" w:cstheme="minorHAnsi"/>
          <w:sz w:val="22"/>
          <w:szCs w:val="22"/>
        </w:rPr>
        <w:t>.</w:t>
      </w:r>
    </w:p>
    <w:p w14:paraId="391B614F" w14:textId="4341CB52" w:rsidR="00BF1C06" w:rsidRDefault="00404DDB" w:rsidP="000E75D6">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sidRPr="000E75D6">
        <w:rPr>
          <w:rFonts w:asciiTheme="minorHAnsi" w:hAnsiTheme="minorHAnsi" w:cstheme="minorHAnsi"/>
          <w:sz w:val="22"/>
          <w:szCs w:val="22"/>
        </w:rPr>
        <w:t>Rec</w:t>
      </w:r>
      <w:r w:rsidR="003F2561" w:rsidRPr="000E75D6">
        <w:rPr>
          <w:rFonts w:asciiTheme="minorHAnsi" w:hAnsiTheme="minorHAnsi" w:cstheme="minorHAnsi"/>
          <w:sz w:val="22"/>
          <w:szCs w:val="22"/>
        </w:rPr>
        <w:t xml:space="preserve">eived </w:t>
      </w:r>
      <w:r w:rsidR="00BF1C06" w:rsidRPr="000E75D6">
        <w:rPr>
          <w:rFonts w:asciiTheme="minorHAnsi" w:hAnsiTheme="minorHAnsi" w:cstheme="minorHAnsi"/>
          <w:sz w:val="22"/>
          <w:szCs w:val="22"/>
        </w:rPr>
        <w:t xml:space="preserve">approval from the Ministry of Ecological Transition (“MITE”) for the </w:t>
      </w:r>
      <w:r w:rsidR="003F2561" w:rsidRPr="000E75D6">
        <w:rPr>
          <w:rFonts w:asciiTheme="minorHAnsi" w:hAnsiTheme="minorHAnsi" w:cstheme="minorHAnsi"/>
          <w:sz w:val="22"/>
          <w:szCs w:val="22"/>
        </w:rPr>
        <w:t xml:space="preserve">acquisition of 100% of UOG Italia increasing the Company’s </w:t>
      </w:r>
      <w:r w:rsidR="000E75D6" w:rsidRPr="000E75D6">
        <w:rPr>
          <w:rFonts w:asciiTheme="minorHAnsi" w:hAnsiTheme="minorHAnsi" w:cstheme="minorHAnsi"/>
          <w:sz w:val="22"/>
          <w:szCs w:val="22"/>
        </w:rPr>
        <w:t>share of</w:t>
      </w:r>
      <w:r w:rsidR="00BF1C06" w:rsidRPr="000E75D6">
        <w:rPr>
          <w:rFonts w:asciiTheme="minorHAnsi" w:hAnsiTheme="minorHAnsi" w:cstheme="minorHAnsi"/>
          <w:sz w:val="22"/>
          <w:szCs w:val="22"/>
        </w:rPr>
        <w:t xml:space="preserve"> Selva’s independently verified 2P gas reserves from 2.3 Bcf to 5.0 Bcf</w:t>
      </w:r>
      <w:r w:rsidR="00BF1C06" w:rsidRPr="000E75D6">
        <w:rPr>
          <w:rFonts w:asciiTheme="minorHAnsi" w:hAnsiTheme="minorHAnsi" w:cstheme="minorHAnsi"/>
          <w:sz w:val="22"/>
          <w:szCs w:val="22"/>
          <w:vertAlign w:val="superscript"/>
        </w:rPr>
        <w:t>[1]</w:t>
      </w:r>
      <w:r w:rsidR="00BF1C06" w:rsidRPr="000E75D6">
        <w:rPr>
          <w:rFonts w:asciiTheme="minorHAnsi" w:hAnsiTheme="minorHAnsi" w:cstheme="minorHAnsi"/>
          <w:sz w:val="22"/>
          <w:szCs w:val="22"/>
        </w:rPr>
        <w:t xml:space="preserve">.  </w:t>
      </w:r>
    </w:p>
    <w:p w14:paraId="66735444" w14:textId="22A6CF5A" w:rsidR="00B00A79" w:rsidRPr="00C37A27" w:rsidRDefault="00B00A79" w:rsidP="00B00A79">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sidRPr="00C37A27">
        <w:rPr>
          <w:rFonts w:asciiTheme="minorHAnsi" w:hAnsiTheme="minorHAnsi" w:cstheme="minorHAnsi"/>
          <w:sz w:val="22"/>
          <w:szCs w:val="22"/>
        </w:rPr>
        <w:t xml:space="preserve">Po Valley received the penultimate approval for production at the </w:t>
      </w:r>
      <w:bookmarkStart w:id="1" w:name="_Hlk113983126"/>
      <w:r w:rsidRPr="00C37A27">
        <w:rPr>
          <w:rFonts w:asciiTheme="minorHAnsi" w:hAnsiTheme="minorHAnsi" w:cstheme="minorHAnsi"/>
          <w:sz w:val="22"/>
          <w:szCs w:val="22"/>
        </w:rPr>
        <w:t xml:space="preserve">Podere </w:t>
      </w:r>
      <w:r w:rsidR="004976B4">
        <w:rPr>
          <w:rFonts w:asciiTheme="minorHAnsi" w:hAnsiTheme="minorHAnsi" w:cstheme="minorHAnsi"/>
          <w:sz w:val="22"/>
          <w:szCs w:val="22"/>
        </w:rPr>
        <w:t>Gallina licence</w:t>
      </w:r>
      <w:bookmarkEnd w:id="1"/>
      <w:r w:rsidRPr="00C37A27">
        <w:rPr>
          <w:rFonts w:asciiTheme="minorHAnsi" w:hAnsiTheme="minorHAnsi" w:cstheme="minorHAnsi"/>
          <w:sz w:val="22"/>
          <w:szCs w:val="22"/>
        </w:rPr>
        <w:t xml:space="preserve"> from the Emilia Romagna Regional Council.  This local government approval was a prerequisite for Italy’s M</w:t>
      </w:r>
      <w:r w:rsidR="00B02CC1">
        <w:rPr>
          <w:rFonts w:asciiTheme="minorHAnsi" w:hAnsiTheme="minorHAnsi" w:cstheme="minorHAnsi"/>
          <w:sz w:val="22"/>
          <w:szCs w:val="22"/>
        </w:rPr>
        <w:t>I</w:t>
      </w:r>
      <w:r w:rsidRPr="00C37A27">
        <w:rPr>
          <w:rFonts w:asciiTheme="minorHAnsi" w:hAnsiTheme="minorHAnsi" w:cstheme="minorHAnsi"/>
          <w:sz w:val="22"/>
          <w:szCs w:val="22"/>
        </w:rPr>
        <w:t xml:space="preserve">TE to grant the Final Production Concession at </w:t>
      </w:r>
      <w:r w:rsidR="004976B4">
        <w:rPr>
          <w:rFonts w:asciiTheme="minorHAnsi" w:hAnsiTheme="minorHAnsi" w:cstheme="minorHAnsi"/>
          <w:sz w:val="22"/>
          <w:szCs w:val="22"/>
        </w:rPr>
        <w:t>Selva Malvezzi</w:t>
      </w:r>
      <w:r w:rsidRPr="00C37A27">
        <w:rPr>
          <w:rFonts w:asciiTheme="minorHAnsi" w:hAnsiTheme="minorHAnsi" w:cstheme="minorHAnsi"/>
          <w:sz w:val="22"/>
          <w:szCs w:val="22"/>
        </w:rPr>
        <w:t>.</w:t>
      </w:r>
    </w:p>
    <w:p w14:paraId="53F6B4AA" w14:textId="77777777" w:rsidR="008401A5" w:rsidRPr="00222811" w:rsidRDefault="008401A5" w:rsidP="00222811">
      <w:pPr>
        <w:widowControl w:val="0"/>
        <w:tabs>
          <w:tab w:val="left" w:pos="993"/>
        </w:tabs>
        <w:autoSpaceDE w:val="0"/>
        <w:autoSpaceDN w:val="0"/>
        <w:spacing w:after="120" w:line="340" w:lineRule="exact"/>
        <w:ind w:left="360"/>
        <w:jc w:val="both"/>
        <w:rPr>
          <w:rFonts w:asciiTheme="minorHAnsi" w:hAnsiTheme="minorHAnsi" w:cstheme="minorHAnsi"/>
          <w:b/>
          <w:bCs/>
          <w:sz w:val="22"/>
          <w:szCs w:val="22"/>
        </w:rPr>
      </w:pPr>
      <w:r w:rsidRPr="00222811">
        <w:rPr>
          <w:rFonts w:asciiTheme="minorHAnsi" w:hAnsiTheme="minorHAnsi" w:cstheme="minorHAnsi"/>
          <w:b/>
          <w:bCs/>
          <w:sz w:val="22"/>
          <w:szCs w:val="22"/>
        </w:rPr>
        <w:t>Post period end:</w:t>
      </w:r>
    </w:p>
    <w:p w14:paraId="2FFE9B2A" w14:textId="5B15A099" w:rsidR="00964DAB" w:rsidRDefault="00964DAB" w:rsidP="00D47734">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 xml:space="preserve">Production concession granted </w:t>
      </w:r>
      <w:r w:rsidR="00425B48">
        <w:rPr>
          <w:rFonts w:asciiTheme="minorHAnsi" w:hAnsiTheme="minorHAnsi" w:cstheme="minorHAnsi"/>
          <w:sz w:val="22"/>
          <w:szCs w:val="22"/>
        </w:rPr>
        <w:t xml:space="preserve">from </w:t>
      </w:r>
      <w:r w:rsidRPr="00C37A27">
        <w:rPr>
          <w:rFonts w:asciiTheme="minorHAnsi" w:hAnsiTheme="minorHAnsi" w:cstheme="minorHAnsi"/>
          <w:sz w:val="22"/>
          <w:szCs w:val="22"/>
        </w:rPr>
        <w:t>MITE</w:t>
      </w:r>
    </w:p>
    <w:p w14:paraId="3D16130B" w14:textId="62D50355" w:rsidR="00D47734" w:rsidRDefault="00D47734" w:rsidP="00D47734">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sidRPr="00C37A27">
        <w:rPr>
          <w:rFonts w:asciiTheme="minorHAnsi" w:hAnsiTheme="minorHAnsi" w:cstheme="minorHAnsi"/>
          <w:sz w:val="22"/>
          <w:szCs w:val="22"/>
        </w:rPr>
        <w:t xml:space="preserve">Po Valley </w:t>
      </w:r>
      <w:r>
        <w:rPr>
          <w:rFonts w:asciiTheme="minorHAnsi" w:hAnsiTheme="minorHAnsi" w:cstheme="minorHAnsi"/>
          <w:sz w:val="22"/>
          <w:szCs w:val="22"/>
        </w:rPr>
        <w:t xml:space="preserve">appoints </w:t>
      </w:r>
      <w:r w:rsidRPr="00C37A27">
        <w:rPr>
          <w:rFonts w:asciiTheme="minorHAnsi" w:hAnsiTheme="minorHAnsi" w:cstheme="minorHAnsi"/>
          <w:sz w:val="22"/>
          <w:szCs w:val="22"/>
        </w:rPr>
        <w:t>TESI Srl (‘TESI’)</w:t>
      </w:r>
      <w:r>
        <w:rPr>
          <w:rFonts w:asciiTheme="minorHAnsi" w:hAnsiTheme="minorHAnsi" w:cstheme="minorHAnsi"/>
          <w:sz w:val="22"/>
          <w:szCs w:val="22"/>
        </w:rPr>
        <w:t xml:space="preserve"> an</w:t>
      </w:r>
      <w:r w:rsidRPr="00C37A27">
        <w:rPr>
          <w:rFonts w:asciiTheme="minorHAnsi" w:hAnsiTheme="minorHAnsi" w:cstheme="minorHAnsi"/>
          <w:sz w:val="22"/>
          <w:szCs w:val="22"/>
        </w:rPr>
        <w:t xml:space="preserve"> Italian engineering firm to install the gas plant and pipeline to connect the</w:t>
      </w:r>
      <w:r w:rsidR="00695FE8">
        <w:rPr>
          <w:rFonts w:asciiTheme="minorHAnsi" w:hAnsiTheme="minorHAnsi" w:cstheme="minorHAnsi"/>
          <w:sz w:val="22"/>
          <w:szCs w:val="22"/>
        </w:rPr>
        <w:t xml:space="preserve"> suspended Podere Maiar-1 well at</w:t>
      </w:r>
      <w:r w:rsidRPr="00C37A27">
        <w:rPr>
          <w:rFonts w:asciiTheme="minorHAnsi" w:hAnsiTheme="minorHAnsi" w:cstheme="minorHAnsi"/>
          <w:sz w:val="22"/>
          <w:szCs w:val="22"/>
        </w:rPr>
        <w:t xml:space="preserve"> Selva to Italy’s gas grid.  The contract secures development costs and timing with construction costs €130,000 (£110,000) less than previously forecast.  Construction is scheduled for completion in the first quarter of 2023</w:t>
      </w:r>
      <w:r>
        <w:rPr>
          <w:rFonts w:asciiTheme="minorHAnsi" w:hAnsiTheme="minorHAnsi" w:cstheme="minorHAnsi"/>
          <w:sz w:val="22"/>
          <w:szCs w:val="22"/>
        </w:rPr>
        <w:t>.</w:t>
      </w:r>
    </w:p>
    <w:p w14:paraId="0AB90923" w14:textId="77777777" w:rsidR="00E37FED" w:rsidRDefault="00E37FED" w:rsidP="00E37FED">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First gas expected in Q2 of 2023.</w:t>
      </w:r>
    </w:p>
    <w:p w14:paraId="06F4FD09" w14:textId="77777777" w:rsidR="008401A5" w:rsidRPr="000E75D6" w:rsidRDefault="008401A5" w:rsidP="00222811">
      <w:pPr>
        <w:pStyle w:val="ListParagraph"/>
        <w:widowControl w:val="0"/>
        <w:tabs>
          <w:tab w:val="left" w:pos="993"/>
        </w:tabs>
        <w:autoSpaceDE w:val="0"/>
        <w:autoSpaceDN w:val="0"/>
        <w:spacing w:after="120" w:line="340" w:lineRule="exact"/>
        <w:jc w:val="both"/>
        <w:rPr>
          <w:rFonts w:asciiTheme="minorHAnsi" w:hAnsiTheme="minorHAnsi" w:cstheme="minorHAnsi"/>
          <w:sz w:val="22"/>
          <w:szCs w:val="22"/>
        </w:rPr>
      </w:pPr>
    </w:p>
    <w:p w14:paraId="3CB1D4EF" w14:textId="59D59790" w:rsidR="00B67B43" w:rsidRPr="00C932BF" w:rsidRDefault="00B67B43" w:rsidP="00B67B43">
      <w:pPr>
        <w:pStyle w:val="BodyText"/>
        <w:spacing w:line="340" w:lineRule="exact"/>
        <w:ind w:left="0" w:right="435"/>
        <w:rPr>
          <w:rFonts w:asciiTheme="minorHAnsi" w:hAnsiTheme="minorHAnsi" w:cstheme="minorHAnsi"/>
          <w:b/>
          <w:bCs/>
          <w:u w:val="single"/>
        </w:rPr>
      </w:pPr>
      <w:r>
        <w:rPr>
          <w:rFonts w:asciiTheme="minorHAnsi" w:hAnsiTheme="minorHAnsi" w:cstheme="minorHAnsi"/>
          <w:b/>
          <w:bCs/>
          <w:u w:val="single"/>
        </w:rPr>
        <w:t>El Romeral in Spain</w:t>
      </w:r>
      <w:r w:rsidRPr="00C932BF">
        <w:rPr>
          <w:rFonts w:asciiTheme="minorHAnsi" w:hAnsiTheme="minorHAnsi" w:cstheme="minorHAnsi"/>
          <w:b/>
          <w:bCs/>
          <w:u w:val="single"/>
        </w:rPr>
        <w:t xml:space="preserve"> (</w:t>
      </w:r>
      <w:r w:rsidR="00BF1C06">
        <w:rPr>
          <w:rFonts w:asciiTheme="minorHAnsi" w:hAnsiTheme="minorHAnsi" w:cstheme="minorHAnsi"/>
          <w:b/>
          <w:bCs/>
          <w:u w:val="single"/>
        </w:rPr>
        <w:t>49.9</w:t>
      </w:r>
      <w:r w:rsidRPr="00C932BF">
        <w:rPr>
          <w:rFonts w:asciiTheme="minorHAnsi" w:hAnsiTheme="minorHAnsi" w:cstheme="minorHAnsi"/>
          <w:b/>
          <w:bCs/>
          <w:u w:val="single"/>
        </w:rPr>
        <w:t>% interest)</w:t>
      </w:r>
    </w:p>
    <w:p w14:paraId="26319704" w14:textId="36D777EA" w:rsidR="002A01BF" w:rsidRPr="00C37A27" w:rsidRDefault="001517C9" w:rsidP="002A01BF">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 xml:space="preserve">Operational improvements lead to </w:t>
      </w:r>
      <w:r w:rsidR="002A01BF" w:rsidRPr="00C37A27">
        <w:rPr>
          <w:rFonts w:asciiTheme="minorHAnsi" w:hAnsiTheme="minorHAnsi" w:cstheme="minorHAnsi"/>
          <w:sz w:val="22"/>
          <w:szCs w:val="22"/>
        </w:rPr>
        <w:t>24 hours a day 7 days a week</w:t>
      </w:r>
      <w:r>
        <w:rPr>
          <w:rFonts w:asciiTheme="minorHAnsi" w:hAnsiTheme="minorHAnsi" w:cstheme="minorHAnsi"/>
          <w:sz w:val="22"/>
          <w:szCs w:val="22"/>
        </w:rPr>
        <w:t xml:space="preserve"> production</w:t>
      </w:r>
      <w:r w:rsidR="00D35E5C" w:rsidRPr="00C37A27">
        <w:rPr>
          <w:rFonts w:asciiTheme="minorHAnsi" w:hAnsiTheme="minorHAnsi" w:cstheme="minorHAnsi"/>
          <w:sz w:val="22"/>
          <w:szCs w:val="22"/>
        </w:rPr>
        <w:t>,</w:t>
      </w:r>
      <w:r w:rsidR="002A01BF" w:rsidRPr="00C37A27">
        <w:rPr>
          <w:rFonts w:asciiTheme="minorHAnsi" w:hAnsiTheme="minorHAnsi" w:cstheme="minorHAnsi"/>
          <w:sz w:val="22"/>
          <w:szCs w:val="22"/>
        </w:rPr>
        <w:t xml:space="preserve"> </w:t>
      </w:r>
      <w:r w:rsidR="00BF1C06">
        <w:rPr>
          <w:rFonts w:asciiTheme="minorHAnsi" w:hAnsiTheme="minorHAnsi" w:cstheme="minorHAnsi"/>
          <w:sz w:val="22"/>
          <w:szCs w:val="22"/>
        </w:rPr>
        <w:t xml:space="preserve">boosting income at a time </w:t>
      </w:r>
      <w:r w:rsidR="002A01BF" w:rsidRPr="00C37A27">
        <w:rPr>
          <w:rFonts w:asciiTheme="minorHAnsi" w:hAnsiTheme="minorHAnsi" w:cstheme="minorHAnsi"/>
          <w:sz w:val="22"/>
          <w:szCs w:val="22"/>
        </w:rPr>
        <w:t xml:space="preserve">when electricity prices </w:t>
      </w:r>
      <w:r w:rsidR="00AC0116" w:rsidRPr="00C37A27">
        <w:rPr>
          <w:rFonts w:asciiTheme="minorHAnsi" w:hAnsiTheme="minorHAnsi" w:cstheme="minorHAnsi"/>
          <w:sz w:val="22"/>
          <w:szCs w:val="22"/>
        </w:rPr>
        <w:t xml:space="preserve">in Spain </w:t>
      </w:r>
      <w:r w:rsidR="002A01BF" w:rsidRPr="00C37A27">
        <w:rPr>
          <w:rFonts w:asciiTheme="minorHAnsi" w:hAnsiTheme="minorHAnsi" w:cstheme="minorHAnsi"/>
          <w:sz w:val="22"/>
          <w:szCs w:val="22"/>
        </w:rPr>
        <w:t>rose to an all-time high</w:t>
      </w:r>
    </w:p>
    <w:p w14:paraId="2D7227B5" w14:textId="581068DE" w:rsidR="002A01BF" w:rsidRPr="00C37A27" w:rsidRDefault="002A01BF" w:rsidP="002A01BF">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sidRPr="00C37A27">
        <w:rPr>
          <w:rFonts w:asciiTheme="minorHAnsi" w:hAnsiTheme="minorHAnsi" w:cstheme="minorHAnsi"/>
          <w:sz w:val="22"/>
          <w:szCs w:val="22"/>
        </w:rPr>
        <w:t>Tarba repa</w:t>
      </w:r>
      <w:r w:rsidR="00EF2203">
        <w:rPr>
          <w:rFonts w:asciiTheme="minorHAnsi" w:hAnsiTheme="minorHAnsi" w:cstheme="minorHAnsi"/>
          <w:sz w:val="22"/>
          <w:szCs w:val="22"/>
        </w:rPr>
        <w:t>ys</w:t>
      </w:r>
      <w:r w:rsidRPr="00C37A27">
        <w:rPr>
          <w:rFonts w:asciiTheme="minorHAnsi" w:hAnsiTheme="minorHAnsi" w:cstheme="minorHAnsi"/>
          <w:sz w:val="22"/>
          <w:szCs w:val="22"/>
        </w:rPr>
        <w:t xml:space="preserve"> loans to its two shareholders of €289,577, plus accrued interest of €19,092.97, equalling a total of €308,669.97</w:t>
      </w:r>
      <w:r w:rsidR="0006164F" w:rsidRPr="00C37A27">
        <w:rPr>
          <w:rFonts w:asciiTheme="minorHAnsi" w:hAnsiTheme="minorHAnsi" w:cstheme="minorHAnsi"/>
          <w:sz w:val="22"/>
          <w:szCs w:val="22"/>
        </w:rPr>
        <w:t xml:space="preserve">.  </w:t>
      </w:r>
      <w:r w:rsidRPr="00C37A27">
        <w:rPr>
          <w:rFonts w:asciiTheme="minorHAnsi" w:hAnsiTheme="minorHAnsi" w:cstheme="minorHAnsi"/>
          <w:sz w:val="22"/>
          <w:szCs w:val="22"/>
        </w:rPr>
        <w:t>Prospex’s share of this was €153,698.64</w:t>
      </w:r>
      <w:r w:rsidR="0006164F" w:rsidRPr="00C37A27">
        <w:rPr>
          <w:rFonts w:asciiTheme="minorHAnsi" w:hAnsiTheme="minorHAnsi" w:cstheme="minorHAnsi"/>
          <w:sz w:val="22"/>
          <w:szCs w:val="22"/>
        </w:rPr>
        <w:t>.</w:t>
      </w:r>
    </w:p>
    <w:p w14:paraId="285D18AC" w14:textId="199D9589" w:rsidR="002A01BF" w:rsidRPr="00C37A27" w:rsidRDefault="0041218E" w:rsidP="00D72A5A">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Start of Project Apollo</w:t>
      </w:r>
      <w:r w:rsidR="00D72A5A">
        <w:rPr>
          <w:rFonts w:asciiTheme="minorHAnsi" w:hAnsiTheme="minorHAnsi" w:cstheme="minorHAnsi"/>
          <w:sz w:val="22"/>
          <w:szCs w:val="22"/>
        </w:rPr>
        <w:t xml:space="preserve">, the first of two </w:t>
      </w:r>
      <w:r w:rsidR="009D2199">
        <w:rPr>
          <w:rFonts w:asciiTheme="minorHAnsi" w:hAnsiTheme="minorHAnsi" w:cstheme="minorHAnsi"/>
          <w:sz w:val="22"/>
          <w:szCs w:val="22"/>
        </w:rPr>
        <w:t xml:space="preserve">solar </w:t>
      </w:r>
      <w:r w:rsidR="002A01BF" w:rsidRPr="00C37A27">
        <w:rPr>
          <w:rFonts w:asciiTheme="minorHAnsi" w:hAnsiTheme="minorHAnsi" w:cstheme="minorHAnsi"/>
          <w:sz w:val="22"/>
          <w:szCs w:val="22"/>
        </w:rPr>
        <w:t>projects at the El Romeral power plant</w:t>
      </w:r>
      <w:r w:rsidR="009D2199">
        <w:rPr>
          <w:rFonts w:asciiTheme="minorHAnsi" w:hAnsiTheme="minorHAnsi" w:cstheme="minorHAnsi"/>
          <w:sz w:val="22"/>
          <w:szCs w:val="22"/>
        </w:rPr>
        <w:t>, aimed at increasing and diversifying generation.</w:t>
      </w:r>
      <w:r w:rsidR="002A01BF" w:rsidRPr="00C37A27">
        <w:rPr>
          <w:rFonts w:asciiTheme="minorHAnsi" w:hAnsiTheme="minorHAnsi" w:cstheme="minorHAnsi"/>
          <w:sz w:val="22"/>
          <w:szCs w:val="22"/>
        </w:rPr>
        <w:t xml:space="preserve"> </w:t>
      </w:r>
      <w:r w:rsidR="00695FE8">
        <w:rPr>
          <w:rFonts w:asciiTheme="minorHAnsi" w:hAnsiTheme="minorHAnsi" w:cstheme="minorHAnsi"/>
          <w:sz w:val="22"/>
          <w:szCs w:val="22"/>
        </w:rPr>
        <w:t xml:space="preserve"> </w:t>
      </w:r>
      <w:r w:rsidR="002A01BF" w:rsidRPr="00C37A27">
        <w:rPr>
          <w:rFonts w:asciiTheme="minorHAnsi" w:hAnsiTheme="minorHAnsi" w:cstheme="minorHAnsi"/>
          <w:sz w:val="22"/>
          <w:szCs w:val="22"/>
        </w:rPr>
        <w:t xml:space="preserve">Payback from Project Apollo is estimated to be approximately four years.  </w:t>
      </w:r>
    </w:p>
    <w:p w14:paraId="02A973C4" w14:textId="628740BC" w:rsidR="002A01BF" w:rsidRPr="00C37A27" w:rsidRDefault="002A01BF" w:rsidP="002A01BF">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sidRPr="00C37A27">
        <w:rPr>
          <w:rFonts w:asciiTheme="minorHAnsi" w:hAnsiTheme="minorHAnsi" w:cstheme="minorHAnsi"/>
          <w:sz w:val="22"/>
          <w:szCs w:val="22"/>
        </w:rPr>
        <w:t xml:space="preserve">In June 2022, the Spanish government announced that it would invoke a gas price cap for companies selling gas for electricity generation of </w:t>
      </w:r>
      <w:r w:rsidRPr="00E12BD1">
        <w:rPr>
          <w:rFonts w:asciiTheme="minorHAnsi" w:hAnsiTheme="minorHAnsi" w:cstheme="minorHAnsi"/>
          <w:sz w:val="22"/>
          <w:szCs w:val="22"/>
        </w:rPr>
        <w:t>€</w:t>
      </w:r>
      <w:r w:rsidR="00E12BD1" w:rsidRPr="00E12BD1">
        <w:rPr>
          <w:rFonts w:asciiTheme="minorHAnsi" w:hAnsiTheme="minorHAnsi" w:cstheme="minorHAnsi"/>
          <w:sz w:val="22"/>
          <w:szCs w:val="22"/>
        </w:rPr>
        <w:t>48.8</w:t>
      </w:r>
      <w:r w:rsidRPr="00695FE8">
        <w:rPr>
          <w:rFonts w:asciiTheme="minorHAnsi" w:hAnsiTheme="minorHAnsi" w:cstheme="minorHAnsi"/>
          <w:sz w:val="22"/>
          <w:szCs w:val="22"/>
        </w:rPr>
        <w:t>/MWhr</w:t>
      </w:r>
      <w:r w:rsidR="0006164F" w:rsidRPr="00695FE8">
        <w:rPr>
          <w:rFonts w:asciiTheme="minorHAnsi" w:hAnsiTheme="minorHAnsi" w:cstheme="minorHAnsi"/>
          <w:sz w:val="22"/>
          <w:szCs w:val="22"/>
        </w:rPr>
        <w:t>.</w:t>
      </w:r>
      <w:r w:rsidR="0006164F" w:rsidRPr="00C37A27">
        <w:rPr>
          <w:rFonts w:asciiTheme="minorHAnsi" w:hAnsiTheme="minorHAnsi" w:cstheme="minorHAnsi"/>
          <w:sz w:val="22"/>
          <w:szCs w:val="22"/>
        </w:rPr>
        <w:t xml:space="preserve">  </w:t>
      </w:r>
      <w:r w:rsidRPr="00C37A27">
        <w:rPr>
          <w:rFonts w:asciiTheme="minorHAnsi" w:hAnsiTheme="minorHAnsi" w:cstheme="minorHAnsi"/>
          <w:sz w:val="22"/>
          <w:szCs w:val="22"/>
        </w:rPr>
        <w:t>As a result</w:t>
      </w:r>
      <w:r w:rsidR="00D35E5C" w:rsidRPr="00C37A27">
        <w:rPr>
          <w:rFonts w:asciiTheme="minorHAnsi" w:hAnsiTheme="minorHAnsi" w:cstheme="minorHAnsi"/>
          <w:sz w:val="22"/>
          <w:szCs w:val="22"/>
        </w:rPr>
        <w:t>,</w:t>
      </w:r>
      <w:r w:rsidRPr="00C37A27">
        <w:rPr>
          <w:rFonts w:asciiTheme="minorHAnsi" w:hAnsiTheme="minorHAnsi" w:cstheme="minorHAnsi"/>
          <w:sz w:val="22"/>
          <w:szCs w:val="22"/>
        </w:rPr>
        <w:t xml:space="preserve"> Spanish daily electricity prices were expected to average €150/MWhr for the next 12 months.  Average prices have remained or exceeded this level to date.</w:t>
      </w:r>
    </w:p>
    <w:p w14:paraId="2866032C" w14:textId="529C6A9B" w:rsidR="00C84AFC" w:rsidRDefault="00C84AFC">
      <w:pPr>
        <w:rPr>
          <w:rFonts w:asciiTheme="minorHAnsi" w:hAnsiTheme="minorHAnsi" w:cstheme="minorHAnsi"/>
          <w:b/>
          <w:bCs/>
          <w:sz w:val="22"/>
          <w:szCs w:val="22"/>
        </w:rPr>
      </w:pPr>
      <w:r>
        <w:rPr>
          <w:rFonts w:asciiTheme="minorHAnsi" w:hAnsiTheme="minorHAnsi" w:cstheme="minorHAnsi"/>
          <w:b/>
          <w:bCs/>
          <w:sz w:val="22"/>
          <w:szCs w:val="22"/>
        </w:rPr>
        <w:br w:type="page"/>
      </w:r>
    </w:p>
    <w:p w14:paraId="55B294DF" w14:textId="77777777" w:rsidR="003F0B79" w:rsidRDefault="003F0B79">
      <w:pPr>
        <w:rPr>
          <w:rFonts w:asciiTheme="minorHAnsi" w:hAnsiTheme="minorHAnsi" w:cstheme="minorHAnsi"/>
          <w:b/>
          <w:bCs/>
          <w:sz w:val="22"/>
          <w:szCs w:val="22"/>
        </w:rPr>
      </w:pPr>
    </w:p>
    <w:p w14:paraId="39CADE07" w14:textId="4682F10B" w:rsidR="002A01BF" w:rsidRPr="00C37A27" w:rsidRDefault="002A01BF" w:rsidP="002A01BF">
      <w:pPr>
        <w:widowControl w:val="0"/>
        <w:tabs>
          <w:tab w:val="left" w:pos="993"/>
        </w:tabs>
        <w:autoSpaceDE w:val="0"/>
        <w:autoSpaceDN w:val="0"/>
        <w:spacing w:after="120" w:line="340" w:lineRule="exact"/>
        <w:ind w:left="360"/>
        <w:jc w:val="both"/>
        <w:rPr>
          <w:rFonts w:asciiTheme="minorHAnsi" w:hAnsiTheme="minorHAnsi" w:cstheme="minorHAnsi"/>
          <w:b/>
          <w:bCs/>
          <w:sz w:val="22"/>
          <w:szCs w:val="22"/>
        </w:rPr>
      </w:pPr>
      <w:r w:rsidRPr="00C37A27">
        <w:rPr>
          <w:rFonts w:asciiTheme="minorHAnsi" w:hAnsiTheme="minorHAnsi" w:cstheme="minorHAnsi"/>
          <w:b/>
          <w:bCs/>
          <w:sz w:val="22"/>
          <w:szCs w:val="22"/>
        </w:rPr>
        <w:t>Post period end:</w:t>
      </w:r>
    </w:p>
    <w:p w14:paraId="465A100E" w14:textId="2871C4B4" w:rsidR="002A01BF" w:rsidRPr="00C37A27" w:rsidRDefault="00282FE8" w:rsidP="002A01BF">
      <w:pPr>
        <w:pStyle w:val="ListParagraph"/>
        <w:widowControl w:val="0"/>
        <w:numPr>
          <w:ilvl w:val="0"/>
          <w:numId w:val="6"/>
        </w:numPr>
        <w:tabs>
          <w:tab w:val="left" w:pos="993"/>
        </w:tabs>
        <w:autoSpaceDE w:val="0"/>
        <w:autoSpaceDN w:val="0"/>
        <w:spacing w:after="120" w:line="340" w:lineRule="exact"/>
        <w:jc w:val="both"/>
        <w:rPr>
          <w:rFonts w:asciiTheme="minorHAnsi" w:hAnsiTheme="minorHAnsi" w:cstheme="minorHAnsi"/>
          <w:sz w:val="22"/>
          <w:szCs w:val="22"/>
        </w:rPr>
      </w:pPr>
      <w:r>
        <w:rPr>
          <w:rFonts w:asciiTheme="minorHAnsi" w:hAnsiTheme="minorHAnsi" w:cstheme="minorHAnsi"/>
          <w:sz w:val="22"/>
          <w:szCs w:val="22"/>
        </w:rPr>
        <w:t xml:space="preserve">Completion of </w:t>
      </w:r>
      <w:r w:rsidR="002A01BF" w:rsidRPr="00C37A27">
        <w:rPr>
          <w:rFonts w:asciiTheme="minorHAnsi" w:hAnsiTheme="minorHAnsi" w:cstheme="minorHAnsi"/>
          <w:sz w:val="22"/>
          <w:szCs w:val="22"/>
        </w:rPr>
        <w:t>Project Apollo</w:t>
      </w:r>
      <w:r w:rsidR="00900945" w:rsidRPr="00C37A27">
        <w:rPr>
          <w:rFonts w:asciiTheme="minorHAnsi" w:hAnsiTheme="minorHAnsi" w:cstheme="minorHAnsi"/>
          <w:sz w:val="22"/>
          <w:szCs w:val="22"/>
        </w:rPr>
        <w:t xml:space="preserve"> which</w:t>
      </w:r>
      <w:r w:rsidR="002A01BF" w:rsidRPr="00C37A27">
        <w:rPr>
          <w:rFonts w:asciiTheme="minorHAnsi" w:hAnsiTheme="minorHAnsi" w:cstheme="minorHAnsi"/>
          <w:sz w:val="22"/>
          <w:szCs w:val="22"/>
        </w:rPr>
        <w:t xml:space="preserve"> powers part of the ancillary services at the </w:t>
      </w:r>
      <w:r w:rsidR="00900945" w:rsidRPr="00C37A27">
        <w:rPr>
          <w:rFonts w:asciiTheme="minorHAnsi" w:hAnsiTheme="minorHAnsi" w:cstheme="minorHAnsi"/>
          <w:sz w:val="22"/>
          <w:szCs w:val="22"/>
        </w:rPr>
        <w:t xml:space="preserve">El Romeral </w:t>
      </w:r>
      <w:r w:rsidR="002A01BF" w:rsidRPr="00C37A27">
        <w:rPr>
          <w:rFonts w:asciiTheme="minorHAnsi" w:hAnsiTheme="minorHAnsi" w:cstheme="minorHAnsi"/>
          <w:sz w:val="22"/>
          <w:szCs w:val="22"/>
        </w:rPr>
        <w:t xml:space="preserve">plant, thereby leading to reduced self-consumption and increased sales of electricity. </w:t>
      </w:r>
      <w:r w:rsidR="009E249B" w:rsidRPr="00C37A27">
        <w:rPr>
          <w:rFonts w:asciiTheme="minorHAnsi" w:hAnsiTheme="minorHAnsi" w:cstheme="minorHAnsi"/>
          <w:sz w:val="22"/>
          <w:szCs w:val="22"/>
        </w:rPr>
        <w:t xml:space="preserve"> </w:t>
      </w:r>
      <w:r w:rsidR="002A01BF" w:rsidRPr="00C37A27">
        <w:rPr>
          <w:rFonts w:asciiTheme="minorHAnsi" w:hAnsiTheme="minorHAnsi" w:cstheme="minorHAnsi"/>
          <w:sz w:val="22"/>
          <w:szCs w:val="22"/>
        </w:rPr>
        <w:t>Project Apollo gives valuable experience to Tarba in managing solar plants, which will be useful learning for Project Helios.</w:t>
      </w:r>
    </w:p>
    <w:p w14:paraId="55FCA19A" w14:textId="77777777" w:rsidR="002A01BF" w:rsidRPr="00C37A27" w:rsidRDefault="002A01BF" w:rsidP="002A01BF">
      <w:pPr>
        <w:widowControl w:val="0"/>
        <w:tabs>
          <w:tab w:val="left" w:pos="911"/>
        </w:tabs>
        <w:autoSpaceDE w:val="0"/>
        <w:autoSpaceDN w:val="0"/>
        <w:spacing w:line="340" w:lineRule="exact"/>
        <w:jc w:val="both"/>
        <w:rPr>
          <w:rFonts w:asciiTheme="minorHAnsi" w:hAnsiTheme="minorHAnsi" w:cstheme="minorHAnsi"/>
          <w:sz w:val="22"/>
          <w:szCs w:val="22"/>
        </w:rPr>
      </w:pPr>
      <w:bookmarkStart w:id="2" w:name="_Hlk114231273"/>
    </w:p>
    <w:bookmarkEnd w:id="0"/>
    <w:bookmarkEnd w:id="2"/>
    <w:p w14:paraId="741E75D9" w14:textId="77777777" w:rsidR="002A01BF" w:rsidRPr="00C37A27" w:rsidRDefault="002A01BF" w:rsidP="002A01BF">
      <w:pPr>
        <w:pStyle w:val="BodyText"/>
        <w:spacing w:after="120" w:line="340" w:lineRule="exact"/>
        <w:ind w:left="0"/>
        <w:jc w:val="both"/>
        <w:rPr>
          <w:rFonts w:asciiTheme="minorHAnsi" w:hAnsiTheme="minorHAnsi" w:cstheme="minorHAnsi"/>
          <w:b/>
          <w:bCs/>
          <w:u w:val="single"/>
        </w:rPr>
      </w:pPr>
      <w:r w:rsidRPr="00C37A27">
        <w:rPr>
          <w:rFonts w:asciiTheme="minorHAnsi" w:hAnsiTheme="minorHAnsi" w:cstheme="minorHAnsi"/>
          <w:b/>
          <w:bCs/>
          <w:u w:val="single"/>
        </w:rPr>
        <w:t>Selva</w:t>
      </w:r>
    </w:p>
    <w:p w14:paraId="26A0151B" w14:textId="31266479" w:rsidR="00607C1F"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The most significant event was the granting of the decree by </w:t>
      </w:r>
      <w:r w:rsidR="002E729D">
        <w:rPr>
          <w:rFonts w:asciiTheme="minorHAnsi" w:hAnsiTheme="minorHAnsi" w:cstheme="minorHAnsi"/>
        </w:rPr>
        <w:t>MITE, the</w:t>
      </w:r>
      <w:r w:rsidR="006D6A07">
        <w:rPr>
          <w:rFonts w:asciiTheme="minorHAnsi" w:hAnsiTheme="minorHAnsi" w:cstheme="minorHAnsi"/>
        </w:rPr>
        <w:t xml:space="preserve"> </w:t>
      </w:r>
      <w:r w:rsidRPr="00C37A27">
        <w:rPr>
          <w:rFonts w:asciiTheme="minorHAnsi" w:hAnsiTheme="minorHAnsi" w:cstheme="minorHAnsi"/>
        </w:rPr>
        <w:t>Italian regulatory authorities</w:t>
      </w:r>
      <w:r w:rsidR="002E729D">
        <w:rPr>
          <w:rFonts w:asciiTheme="minorHAnsi" w:hAnsiTheme="minorHAnsi" w:cstheme="minorHAnsi"/>
        </w:rPr>
        <w:t xml:space="preserve"> on 29</w:t>
      </w:r>
      <w:r w:rsidR="002E729D">
        <w:rPr>
          <w:rFonts w:asciiTheme="minorHAnsi" w:hAnsiTheme="minorHAnsi" w:cstheme="minorHAnsi"/>
          <w:vertAlign w:val="superscript"/>
        </w:rPr>
        <w:t xml:space="preserve"> </w:t>
      </w:r>
      <w:r w:rsidR="002E729D">
        <w:rPr>
          <w:rFonts w:asciiTheme="minorHAnsi" w:hAnsiTheme="minorHAnsi" w:cstheme="minorHAnsi"/>
        </w:rPr>
        <w:t>July 2022</w:t>
      </w:r>
      <w:r w:rsidRPr="00C37A27">
        <w:rPr>
          <w:rFonts w:asciiTheme="minorHAnsi" w:hAnsiTheme="minorHAnsi" w:cstheme="minorHAnsi"/>
        </w:rPr>
        <w:t xml:space="preserve"> to approve the Production Concession at Selva Malvezzi in the Po Valley onshore northern Italy, where our operator Po Valley is actively progressing the field development work to allow production from the Podere Maiar-1 suspended well on the concession. </w:t>
      </w:r>
      <w:r w:rsidR="0006164F">
        <w:rPr>
          <w:rFonts w:asciiTheme="minorHAnsi" w:hAnsiTheme="minorHAnsi" w:cstheme="minorHAnsi"/>
        </w:rPr>
        <w:t xml:space="preserve"> </w:t>
      </w:r>
      <w:r w:rsidRPr="00C37A27">
        <w:rPr>
          <w:rFonts w:asciiTheme="minorHAnsi" w:hAnsiTheme="minorHAnsi" w:cstheme="minorHAnsi"/>
        </w:rPr>
        <w:t xml:space="preserve">This entails the installation of a small gas processing facility at the well site location, the installation of a 1,000m 4-inch pipeline to export the gas to the nearby high pressure gas grid network operated by SNAM and the connection to that gas grid network which must be procured and executed by the SNAM engineers. </w:t>
      </w:r>
      <w:r w:rsidR="0006164F">
        <w:rPr>
          <w:rFonts w:asciiTheme="minorHAnsi" w:hAnsiTheme="minorHAnsi" w:cstheme="minorHAnsi"/>
        </w:rPr>
        <w:t xml:space="preserve"> </w:t>
      </w:r>
      <w:r w:rsidR="00A12381">
        <w:rPr>
          <w:rFonts w:asciiTheme="minorHAnsi" w:hAnsiTheme="minorHAnsi" w:cstheme="minorHAnsi"/>
        </w:rPr>
        <w:t xml:space="preserve">Prospex subsidiaries paid Po Valley their 37% share of the €757,000 SNAM Bond (€280,090 net to Prospex) necessary to procure the connection to the national gas grid.  </w:t>
      </w:r>
    </w:p>
    <w:p w14:paraId="7819E0B2" w14:textId="1403B3E0" w:rsidR="009C78D7"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All this work is now underway </w:t>
      </w:r>
      <w:r w:rsidR="002C307D">
        <w:rPr>
          <w:rFonts w:asciiTheme="minorHAnsi" w:hAnsiTheme="minorHAnsi" w:cstheme="minorHAnsi"/>
        </w:rPr>
        <w:t>following the appointment of TESI</w:t>
      </w:r>
      <w:r w:rsidR="009C78D7">
        <w:rPr>
          <w:rFonts w:asciiTheme="minorHAnsi" w:hAnsiTheme="minorHAnsi" w:cstheme="minorHAnsi"/>
        </w:rPr>
        <w:t xml:space="preserve"> on 8</w:t>
      </w:r>
      <w:r w:rsidR="009C78D7">
        <w:rPr>
          <w:rFonts w:asciiTheme="minorHAnsi" w:hAnsiTheme="minorHAnsi" w:cstheme="minorHAnsi"/>
          <w:vertAlign w:val="superscript"/>
        </w:rPr>
        <w:t xml:space="preserve"> </w:t>
      </w:r>
      <w:r w:rsidR="009C78D7">
        <w:rPr>
          <w:rFonts w:asciiTheme="minorHAnsi" w:hAnsiTheme="minorHAnsi" w:cstheme="minorHAnsi"/>
        </w:rPr>
        <w:t>August 2022.</w:t>
      </w:r>
      <w:r w:rsidR="009C78D7" w:rsidRPr="009C78D7">
        <w:rPr>
          <w:rFonts w:asciiTheme="minorHAnsi" w:hAnsiTheme="minorHAnsi" w:cstheme="minorHAnsi"/>
        </w:rPr>
        <w:t xml:space="preserve"> </w:t>
      </w:r>
      <w:r w:rsidR="006D6A07">
        <w:rPr>
          <w:rFonts w:asciiTheme="minorHAnsi" w:hAnsiTheme="minorHAnsi" w:cstheme="minorHAnsi"/>
        </w:rPr>
        <w:t xml:space="preserve"> </w:t>
      </w:r>
      <w:r w:rsidR="009C78D7" w:rsidRPr="00C37A27">
        <w:rPr>
          <w:rFonts w:asciiTheme="minorHAnsi" w:hAnsiTheme="minorHAnsi" w:cstheme="minorHAnsi"/>
        </w:rPr>
        <w:t>The TESI contract secures development costs and timing with construction costs €130,000 (£110,000) less than previously forecast</w:t>
      </w:r>
      <w:r w:rsidR="009C78D7">
        <w:rPr>
          <w:rFonts w:asciiTheme="minorHAnsi" w:hAnsiTheme="minorHAnsi" w:cstheme="minorHAnsi"/>
        </w:rPr>
        <w:t>.</w:t>
      </w:r>
      <w:r w:rsidR="00EA7C19">
        <w:rPr>
          <w:rFonts w:asciiTheme="minorHAnsi" w:hAnsiTheme="minorHAnsi" w:cstheme="minorHAnsi"/>
        </w:rPr>
        <w:t xml:space="preserve"> </w:t>
      </w:r>
      <w:r w:rsidR="006D6A07">
        <w:rPr>
          <w:rFonts w:asciiTheme="minorHAnsi" w:hAnsiTheme="minorHAnsi" w:cstheme="minorHAnsi"/>
        </w:rPr>
        <w:t xml:space="preserve"> </w:t>
      </w:r>
      <w:r w:rsidR="009C78D7">
        <w:rPr>
          <w:rFonts w:asciiTheme="minorHAnsi" w:hAnsiTheme="minorHAnsi" w:cstheme="minorHAnsi"/>
        </w:rPr>
        <w:t>S</w:t>
      </w:r>
      <w:r w:rsidRPr="00C37A27">
        <w:rPr>
          <w:rFonts w:asciiTheme="minorHAnsi" w:hAnsiTheme="minorHAnsi" w:cstheme="minorHAnsi"/>
        </w:rPr>
        <w:t xml:space="preserve">ignificantly for both Prospex and the operator Po Valley, both parties have sufficient funds to complete this work to achieve first gas production from the newly awarded concession in the second quarter of 2023.  </w:t>
      </w:r>
    </w:p>
    <w:p w14:paraId="4F9C074F" w14:textId="71FE66E2" w:rsidR="002A01BF" w:rsidRPr="00C37A27"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This has not been without its challenges</w:t>
      </w:r>
      <w:r w:rsidR="0006164F" w:rsidRPr="00C37A27">
        <w:rPr>
          <w:rFonts w:asciiTheme="minorHAnsi" w:hAnsiTheme="minorHAnsi" w:cstheme="minorHAnsi"/>
        </w:rPr>
        <w:t xml:space="preserve">.  </w:t>
      </w:r>
      <w:r w:rsidRPr="00C37A27">
        <w:rPr>
          <w:rFonts w:asciiTheme="minorHAnsi" w:hAnsiTheme="minorHAnsi" w:cstheme="minorHAnsi"/>
        </w:rPr>
        <w:t>The global supply chain costs have escalated significantly with energy costs in particular but also labour costs seeing unprecedented inflation</w:t>
      </w:r>
      <w:r w:rsidR="0006164F" w:rsidRPr="00C37A27">
        <w:rPr>
          <w:rFonts w:asciiTheme="minorHAnsi" w:hAnsiTheme="minorHAnsi" w:cstheme="minorHAnsi"/>
        </w:rPr>
        <w:t xml:space="preserve">.  </w:t>
      </w:r>
      <w:r w:rsidRPr="00C37A27">
        <w:rPr>
          <w:rFonts w:asciiTheme="minorHAnsi" w:hAnsiTheme="minorHAnsi" w:cstheme="minorHAnsi"/>
        </w:rPr>
        <w:t>The equity capital markets have been very subdued in the period with fund raises only possible at deep discounts to quoted share prices</w:t>
      </w:r>
      <w:r w:rsidR="0006164F" w:rsidRPr="00C37A27">
        <w:rPr>
          <w:rFonts w:asciiTheme="minorHAnsi" w:hAnsiTheme="minorHAnsi" w:cstheme="minorHAnsi"/>
        </w:rPr>
        <w:t xml:space="preserve">.  </w:t>
      </w:r>
      <w:r w:rsidRPr="00C37A27">
        <w:rPr>
          <w:rFonts w:asciiTheme="minorHAnsi" w:hAnsiTheme="minorHAnsi" w:cstheme="minorHAnsi"/>
        </w:rPr>
        <w:t>The backdrop of the negative attitude of investing in any stocks related to fossil fuels has not helped</w:t>
      </w:r>
      <w:r w:rsidR="0006164F" w:rsidRPr="00C37A27">
        <w:rPr>
          <w:rFonts w:asciiTheme="minorHAnsi" w:hAnsiTheme="minorHAnsi" w:cstheme="minorHAnsi"/>
        </w:rPr>
        <w:t xml:space="preserve">.  </w:t>
      </w:r>
      <w:r w:rsidRPr="00C37A27">
        <w:rPr>
          <w:rFonts w:asciiTheme="minorHAnsi" w:hAnsiTheme="minorHAnsi" w:cstheme="minorHAnsi"/>
        </w:rPr>
        <w:t>So it is in this context that the Company raised sufficient funds to get us to first gas at Selva and the substantial cash flows that are forecast at gas prices which are likely to remain strong for the foreseeable future</w:t>
      </w:r>
      <w:r w:rsidR="0006164F" w:rsidRPr="00C37A27">
        <w:rPr>
          <w:rFonts w:asciiTheme="minorHAnsi" w:hAnsiTheme="minorHAnsi" w:cstheme="minorHAnsi"/>
        </w:rPr>
        <w:t xml:space="preserve">.  </w:t>
      </w:r>
      <w:r w:rsidRPr="00C37A27">
        <w:rPr>
          <w:rFonts w:asciiTheme="minorHAnsi" w:hAnsiTheme="minorHAnsi" w:cstheme="minorHAnsi"/>
        </w:rPr>
        <w:t xml:space="preserve">This funding by the Company via Convertible Loan Notes from our existing network of shareholders and supporters over the years plus a number of new subscribers was </w:t>
      </w:r>
      <w:r w:rsidR="00D94F70" w:rsidRPr="00C37A27">
        <w:rPr>
          <w:rFonts w:asciiTheme="minorHAnsi" w:hAnsiTheme="minorHAnsi" w:cstheme="minorHAnsi"/>
        </w:rPr>
        <w:t>undertaken</w:t>
      </w:r>
      <w:r w:rsidRPr="00C37A27">
        <w:rPr>
          <w:rFonts w:asciiTheme="minorHAnsi" w:hAnsiTheme="minorHAnsi" w:cstheme="minorHAnsi"/>
        </w:rPr>
        <w:t xml:space="preserve"> without issuing warrants, with no fees to brokers and at the prevailing market share price at the time or at a small premium</w:t>
      </w:r>
      <w:r w:rsidR="0006164F" w:rsidRPr="00C37A27">
        <w:rPr>
          <w:rFonts w:asciiTheme="minorHAnsi" w:hAnsiTheme="minorHAnsi" w:cstheme="minorHAnsi"/>
        </w:rPr>
        <w:t xml:space="preserve">. </w:t>
      </w:r>
      <w:r w:rsidR="006D6A07">
        <w:rPr>
          <w:rFonts w:asciiTheme="minorHAnsi" w:hAnsiTheme="minorHAnsi" w:cstheme="minorHAnsi"/>
        </w:rPr>
        <w:t xml:space="preserve"> </w:t>
      </w:r>
      <w:r w:rsidR="00125B3D">
        <w:rPr>
          <w:rFonts w:asciiTheme="minorHAnsi" w:hAnsiTheme="minorHAnsi" w:cstheme="minorHAnsi"/>
        </w:rPr>
        <w:t>A total of £</w:t>
      </w:r>
      <w:r w:rsidR="006D6A07">
        <w:rPr>
          <w:rFonts w:asciiTheme="minorHAnsi" w:hAnsiTheme="minorHAnsi" w:cstheme="minorHAnsi"/>
        </w:rPr>
        <w:t>4,825,</w:t>
      </w:r>
      <w:r w:rsidR="006D6A07" w:rsidRPr="006D6A07">
        <w:rPr>
          <w:rFonts w:asciiTheme="minorHAnsi" w:hAnsiTheme="minorHAnsi" w:cstheme="minorHAnsi"/>
        </w:rPr>
        <w:t>000</w:t>
      </w:r>
      <w:r w:rsidR="00125B3D">
        <w:rPr>
          <w:rFonts w:asciiTheme="minorHAnsi" w:hAnsiTheme="minorHAnsi" w:cstheme="minorHAnsi"/>
        </w:rPr>
        <w:t xml:space="preserve"> was raised during and post period</w:t>
      </w:r>
      <w:r w:rsidR="00F808F6">
        <w:rPr>
          <w:rFonts w:asciiTheme="minorHAnsi" w:hAnsiTheme="minorHAnsi" w:cstheme="minorHAnsi"/>
        </w:rPr>
        <w:t xml:space="preserve"> via the issue of Convertible Loan Notes and new equity</w:t>
      </w:r>
      <w:r w:rsidR="00125B3D">
        <w:rPr>
          <w:rFonts w:asciiTheme="minorHAnsi" w:hAnsiTheme="minorHAnsi" w:cstheme="minorHAnsi"/>
        </w:rPr>
        <w:t xml:space="preserve">. </w:t>
      </w:r>
      <w:r w:rsidR="006D6A07">
        <w:rPr>
          <w:rFonts w:asciiTheme="minorHAnsi" w:hAnsiTheme="minorHAnsi" w:cstheme="minorHAnsi"/>
        </w:rPr>
        <w:t xml:space="preserve"> </w:t>
      </w:r>
      <w:r w:rsidRPr="00C37A27">
        <w:rPr>
          <w:rFonts w:asciiTheme="minorHAnsi" w:hAnsiTheme="minorHAnsi" w:cstheme="minorHAnsi"/>
        </w:rPr>
        <w:t xml:space="preserve">The interest and capital repayments </w:t>
      </w:r>
      <w:r w:rsidR="00F808F6">
        <w:rPr>
          <w:rFonts w:asciiTheme="minorHAnsi" w:hAnsiTheme="minorHAnsi" w:cstheme="minorHAnsi"/>
        </w:rPr>
        <w:t xml:space="preserve">on the Convertible Loan Notes </w:t>
      </w:r>
      <w:r w:rsidRPr="00C37A27">
        <w:rPr>
          <w:rFonts w:asciiTheme="minorHAnsi" w:hAnsiTheme="minorHAnsi" w:cstheme="minorHAnsi"/>
        </w:rPr>
        <w:t xml:space="preserve">have been conservatively scheduled to fall well within the expected </w:t>
      </w:r>
      <w:r w:rsidR="00125B3D">
        <w:rPr>
          <w:rFonts w:asciiTheme="minorHAnsi" w:hAnsiTheme="minorHAnsi" w:cstheme="minorHAnsi"/>
        </w:rPr>
        <w:t>post-tax</w:t>
      </w:r>
      <w:r w:rsidRPr="00C37A27">
        <w:rPr>
          <w:rFonts w:asciiTheme="minorHAnsi" w:hAnsiTheme="minorHAnsi" w:cstheme="minorHAnsi"/>
        </w:rPr>
        <w:t>, post</w:t>
      </w:r>
      <w:r w:rsidR="006D6A07">
        <w:rPr>
          <w:rFonts w:asciiTheme="minorHAnsi" w:hAnsiTheme="minorHAnsi" w:cstheme="minorHAnsi"/>
        </w:rPr>
        <w:t>-</w:t>
      </w:r>
      <w:r w:rsidRPr="00C37A27">
        <w:rPr>
          <w:rFonts w:asciiTheme="minorHAnsi" w:hAnsiTheme="minorHAnsi" w:cstheme="minorHAnsi"/>
        </w:rPr>
        <w:t>royalty cash flows from Selva</w:t>
      </w:r>
      <w:r w:rsidR="0006164F" w:rsidRPr="00C37A27">
        <w:rPr>
          <w:rFonts w:asciiTheme="minorHAnsi" w:hAnsiTheme="minorHAnsi" w:cstheme="minorHAnsi"/>
        </w:rPr>
        <w:t xml:space="preserve">.  </w:t>
      </w:r>
      <w:r w:rsidRPr="00C37A27">
        <w:rPr>
          <w:rFonts w:asciiTheme="minorHAnsi" w:hAnsiTheme="minorHAnsi" w:cstheme="minorHAnsi"/>
        </w:rPr>
        <w:t>Part of the remaining cash flow will be earmarked for future drilling and seismic data acquisition on our existing permits in both Italy and Spain.</w:t>
      </w:r>
    </w:p>
    <w:p w14:paraId="2FD136BF" w14:textId="378A5C61" w:rsidR="002A01BF"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Another significant event in this period was the completion of the acquisition of 20% of </w:t>
      </w:r>
      <w:r w:rsidR="004976B4">
        <w:rPr>
          <w:rFonts w:asciiTheme="minorHAnsi" w:hAnsiTheme="minorHAnsi" w:cstheme="minorHAnsi"/>
        </w:rPr>
        <w:t>the Podere Gallina licence</w:t>
      </w:r>
      <w:r w:rsidRPr="00C37A27">
        <w:rPr>
          <w:rFonts w:asciiTheme="minorHAnsi" w:hAnsiTheme="minorHAnsi" w:cstheme="minorHAnsi"/>
        </w:rPr>
        <w:t xml:space="preserve"> in April 2022 to bring the Company’s working interest in the licence in which sits the Selva </w:t>
      </w:r>
      <w:r w:rsidR="004976B4">
        <w:rPr>
          <w:rFonts w:asciiTheme="minorHAnsi" w:hAnsiTheme="minorHAnsi" w:cstheme="minorHAnsi"/>
        </w:rPr>
        <w:t xml:space="preserve">gas </w:t>
      </w:r>
      <w:r w:rsidRPr="00C37A27">
        <w:rPr>
          <w:rFonts w:asciiTheme="minorHAnsi" w:hAnsiTheme="minorHAnsi" w:cstheme="minorHAnsi"/>
        </w:rPr>
        <w:t>field, to 37%</w:t>
      </w:r>
      <w:r w:rsidR="0006164F" w:rsidRPr="00C37A27">
        <w:rPr>
          <w:rFonts w:asciiTheme="minorHAnsi" w:hAnsiTheme="minorHAnsi" w:cstheme="minorHAnsi"/>
        </w:rPr>
        <w:t xml:space="preserve">.  </w:t>
      </w:r>
      <w:r w:rsidRPr="00C37A27">
        <w:rPr>
          <w:rFonts w:asciiTheme="minorHAnsi" w:hAnsiTheme="minorHAnsi" w:cstheme="minorHAnsi"/>
        </w:rPr>
        <w:t xml:space="preserve">The funds for this acquisition were achieved from the placing in February 2022 which raised </w:t>
      </w:r>
      <w:r w:rsidRPr="00C37A27">
        <w:rPr>
          <w:rFonts w:asciiTheme="minorHAnsi" w:hAnsiTheme="minorHAnsi" w:cstheme="minorHAnsi"/>
        </w:rPr>
        <w:lastRenderedPageBreak/>
        <w:t>£2.455 million, before fees, at 3.5p per share, equivalent to a 16.7% discount to the prevailing share price at that time</w:t>
      </w:r>
      <w:r w:rsidR="0006164F" w:rsidRPr="00C37A27">
        <w:rPr>
          <w:rFonts w:asciiTheme="minorHAnsi" w:hAnsiTheme="minorHAnsi" w:cstheme="minorHAnsi"/>
        </w:rPr>
        <w:t xml:space="preserve">. </w:t>
      </w:r>
      <w:r w:rsidR="006D6A07">
        <w:rPr>
          <w:rFonts w:asciiTheme="minorHAnsi" w:hAnsiTheme="minorHAnsi" w:cstheme="minorHAnsi"/>
        </w:rPr>
        <w:t xml:space="preserve"> </w:t>
      </w:r>
      <w:r w:rsidR="00125B3D" w:rsidRPr="00125B3D">
        <w:rPr>
          <w:rFonts w:asciiTheme="minorHAnsi" w:hAnsiTheme="minorHAnsi" w:cstheme="minorHAnsi"/>
        </w:rPr>
        <w:t>This transaction increased the Company’s share of Selva’s independently verified 2P gas reserves from 2.3 Bcf to 5.0 Bcf</w:t>
      </w:r>
      <w:r w:rsidR="00125B3D" w:rsidRPr="006D6A07">
        <w:rPr>
          <w:rFonts w:asciiTheme="minorHAnsi" w:hAnsiTheme="minorHAnsi" w:cstheme="minorHAnsi"/>
          <w:vertAlign w:val="superscript"/>
        </w:rPr>
        <w:t>[1]</w:t>
      </w:r>
      <w:r w:rsidR="00125B3D" w:rsidRPr="00125B3D">
        <w:rPr>
          <w:rFonts w:asciiTheme="minorHAnsi" w:hAnsiTheme="minorHAnsi" w:cstheme="minorHAnsi"/>
        </w:rPr>
        <w:t>.  The other 63% participant in the licence and operator is Po Valley Operations Limited (“Po Valley”), a wholly-owned subsidiary of Po Valley Energy Limited (ASX:PVE).</w:t>
      </w:r>
      <w:r w:rsidR="00125B3D">
        <w:rPr>
          <w:rFonts w:asciiTheme="minorHAnsi" w:hAnsiTheme="minorHAnsi" w:cstheme="minorHAnsi"/>
        </w:rPr>
        <w:t xml:space="preserve"> </w:t>
      </w:r>
      <w:r w:rsidR="0006164F" w:rsidRPr="00C37A27">
        <w:rPr>
          <w:rFonts w:asciiTheme="minorHAnsi" w:hAnsiTheme="minorHAnsi" w:cstheme="minorHAnsi"/>
        </w:rPr>
        <w:t xml:space="preserve"> </w:t>
      </w:r>
    </w:p>
    <w:p w14:paraId="595B2CED" w14:textId="63BA55F2" w:rsidR="00C84AFC" w:rsidRDefault="002A26BE" w:rsidP="00C84AFC">
      <w:pPr>
        <w:pStyle w:val="BodyText"/>
        <w:spacing w:after="120" w:line="340" w:lineRule="exact"/>
        <w:ind w:left="0"/>
        <w:jc w:val="both"/>
        <w:rPr>
          <w:rFonts w:asciiTheme="minorHAnsi" w:hAnsiTheme="minorHAnsi" w:cstheme="minorHAnsi"/>
        </w:rPr>
      </w:pPr>
      <w:r>
        <w:rPr>
          <w:rFonts w:asciiTheme="minorHAnsi" w:hAnsiTheme="minorHAnsi" w:cstheme="minorHAnsi"/>
        </w:rPr>
        <w:t xml:space="preserve">The </w:t>
      </w:r>
      <w:r w:rsidR="00C84AFC" w:rsidRPr="00C84AFC">
        <w:rPr>
          <w:rFonts w:asciiTheme="minorHAnsi" w:hAnsiTheme="minorHAnsi" w:cstheme="minorHAnsi"/>
        </w:rPr>
        <w:t xml:space="preserve">increase in the net book value of investments to £14,343,285 </w:t>
      </w:r>
      <w:r>
        <w:rPr>
          <w:rFonts w:asciiTheme="minorHAnsi" w:hAnsiTheme="minorHAnsi" w:cstheme="minorHAnsi"/>
        </w:rPr>
        <w:t xml:space="preserve">from </w:t>
      </w:r>
      <w:r w:rsidR="00C84AFC" w:rsidRPr="00C84AFC">
        <w:rPr>
          <w:rFonts w:asciiTheme="minorHAnsi" w:hAnsiTheme="minorHAnsi" w:cstheme="minorHAnsi"/>
        </w:rPr>
        <w:t>£6,697,305</w:t>
      </w:r>
      <w:r>
        <w:rPr>
          <w:rFonts w:asciiTheme="minorHAnsi" w:hAnsiTheme="minorHAnsi" w:cstheme="minorHAnsi"/>
        </w:rPr>
        <w:t xml:space="preserve"> at the end of last year</w:t>
      </w:r>
      <w:r w:rsidR="00C84AFC" w:rsidRPr="00C84AFC">
        <w:rPr>
          <w:rFonts w:asciiTheme="minorHAnsi" w:hAnsiTheme="minorHAnsi" w:cstheme="minorHAnsi"/>
        </w:rPr>
        <w:t xml:space="preserve"> reflects the after-tax effect of a revaluation of the 37%</w:t>
      </w:r>
      <w:r>
        <w:rPr>
          <w:rFonts w:asciiTheme="minorHAnsi" w:hAnsiTheme="minorHAnsi" w:cstheme="minorHAnsi"/>
        </w:rPr>
        <w:t xml:space="preserve"> (from 17%)</w:t>
      </w:r>
      <w:r w:rsidR="00C84AFC" w:rsidRPr="00C84AFC">
        <w:rPr>
          <w:rFonts w:asciiTheme="minorHAnsi" w:hAnsiTheme="minorHAnsi" w:cstheme="minorHAnsi"/>
        </w:rPr>
        <w:t xml:space="preserve"> of the Podere Gallina </w:t>
      </w:r>
      <w:r>
        <w:rPr>
          <w:rFonts w:asciiTheme="minorHAnsi" w:hAnsiTheme="minorHAnsi" w:cstheme="minorHAnsi"/>
        </w:rPr>
        <w:t>licence</w:t>
      </w:r>
      <w:r w:rsidR="00C84AFC" w:rsidRPr="00C84AFC">
        <w:rPr>
          <w:rFonts w:asciiTheme="minorHAnsi" w:hAnsiTheme="minorHAnsi" w:cstheme="minorHAnsi"/>
        </w:rPr>
        <w:t xml:space="preserve"> which brings the valuation of the additional 20% acquired in the current period in-line with the valuation of the 17% already held at 31 December 2021.  We have applied the same valuation methodology and assumptions which were applied in the audited financial statements at 31 December 2021, including the forward prices as at that date.  The current forward prices for European gas at the date of preparation of these interim results remain at several multiples of those at 31 December 2021, so we believe the valuations are appropriately conservative and adequately cater for the effects of any possible significant future reductions in gas prices, or the imposition of a European gas price cap.  We anticipate that a further upward revaluation at 31 December 2022 is likely to be appropriate. </w:t>
      </w:r>
    </w:p>
    <w:p w14:paraId="66426D37" w14:textId="77777777" w:rsidR="000C75B0" w:rsidRPr="00634BAD" w:rsidRDefault="000C75B0" w:rsidP="000C75B0">
      <w:pPr>
        <w:pStyle w:val="BodyText"/>
        <w:spacing w:line="340" w:lineRule="exact"/>
        <w:ind w:left="0"/>
        <w:jc w:val="both"/>
        <w:rPr>
          <w:rFonts w:ascii="Calibri" w:hAnsi="Calibri" w:cs="Calibri"/>
          <w:sz w:val="20"/>
          <w:szCs w:val="20"/>
        </w:rPr>
      </w:pPr>
    </w:p>
    <w:p w14:paraId="1D64D59D" w14:textId="77777777" w:rsidR="000C75B0" w:rsidRPr="00634BAD" w:rsidRDefault="000C75B0" w:rsidP="000C75B0">
      <w:pPr>
        <w:pStyle w:val="BodyText"/>
        <w:spacing w:line="340" w:lineRule="exact"/>
        <w:ind w:left="0"/>
        <w:jc w:val="both"/>
        <w:rPr>
          <w:rFonts w:ascii="Calibri" w:hAnsi="Calibri" w:cs="Calibri"/>
          <w:sz w:val="20"/>
          <w:szCs w:val="20"/>
        </w:rPr>
      </w:pPr>
      <w:r w:rsidRPr="00634BAD">
        <w:rPr>
          <w:rFonts w:ascii="Calibri" w:hAnsi="Calibri" w:cs="Calibri"/>
          <w:sz w:val="20"/>
          <w:szCs w:val="20"/>
          <w:vertAlign w:val="superscript"/>
        </w:rPr>
        <w:t>[1]</w:t>
      </w:r>
      <w:r w:rsidRPr="00634BAD">
        <w:rPr>
          <w:rFonts w:ascii="Calibri" w:hAnsi="Calibri" w:cs="Calibri"/>
          <w:sz w:val="20"/>
          <w:szCs w:val="20"/>
        </w:rPr>
        <w:t xml:space="preserve"> Source: “Competent Person’s Report Podere Gallina Licence, Italy” prepared by CGG Services (UK) Limited in January 2019 </w:t>
      </w:r>
      <w:hyperlink r:id="rId11" w:history="1">
        <w:r w:rsidRPr="00E278A6">
          <w:rPr>
            <w:rStyle w:val="Hyperlink"/>
            <w:rFonts w:ascii="Calibri" w:hAnsi="Calibri" w:cs="Calibri"/>
            <w:sz w:val="20"/>
            <w:szCs w:val="20"/>
          </w:rPr>
          <w:t>https://bit.ly/3nZNfYf</w:t>
        </w:r>
      </w:hyperlink>
      <w:r>
        <w:rPr>
          <w:rFonts w:ascii="Calibri" w:hAnsi="Calibri" w:cs="Calibri"/>
          <w:sz w:val="20"/>
          <w:szCs w:val="20"/>
        </w:rPr>
        <w:t xml:space="preserve"> </w:t>
      </w:r>
    </w:p>
    <w:p w14:paraId="7E801574" w14:textId="77777777" w:rsidR="002A26BE" w:rsidRPr="00C84AFC" w:rsidRDefault="002A26BE" w:rsidP="00C84AFC">
      <w:pPr>
        <w:pStyle w:val="BodyText"/>
        <w:spacing w:after="120" w:line="340" w:lineRule="exact"/>
        <w:ind w:left="0"/>
        <w:jc w:val="both"/>
        <w:rPr>
          <w:rFonts w:asciiTheme="minorHAnsi" w:hAnsiTheme="minorHAnsi" w:cstheme="minorHAnsi"/>
        </w:rPr>
      </w:pPr>
    </w:p>
    <w:p w14:paraId="082DF716" w14:textId="77777777" w:rsidR="002A01BF" w:rsidRPr="00C37A27" w:rsidRDefault="002A01BF" w:rsidP="002A01BF">
      <w:pPr>
        <w:pStyle w:val="BodyText"/>
        <w:spacing w:after="120" w:line="340" w:lineRule="exact"/>
        <w:ind w:left="0"/>
        <w:jc w:val="both"/>
        <w:rPr>
          <w:rFonts w:asciiTheme="minorHAnsi" w:hAnsiTheme="minorHAnsi" w:cstheme="minorHAnsi"/>
          <w:b/>
          <w:bCs/>
          <w:u w:val="single"/>
        </w:rPr>
      </w:pPr>
      <w:r w:rsidRPr="00C37A27">
        <w:rPr>
          <w:rFonts w:asciiTheme="minorHAnsi" w:hAnsiTheme="minorHAnsi" w:cstheme="minorHAnsi"/>
          <w:b/>
          <w:bCs/>
          <w:u w:val="single"/>
        </w:rPr>
        <w:t>Tarba</w:t>
      </w:r>
    </w:p>
    <w:p w14:paraId="267C88D5" w14:textId="12C3FC9A" w:rsidR="007609B8"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The Company’s acquisition of the El Romeral gas concessions and its connected and operating power plant near Carmona in southern Spain has also been an outstanding success</w:t>
      </w:r>
      <w:r w:rsidR="0006164F" w:rsidRPr="00C37A27">
        <w:rPr>
          <w:rFonts w:asciiTheme="minorHAnsi" w:hAnsiTheme="minorHAnsi" w:cstheme="minorHAnsi"/>
        </w:rPr>
        <w:t xml:space="preserve">.  </w:t>
      </w:r>
      <w:r w:rsidRPr="00C37A27">
        <w:rPr>
          <w:rFonts w:asciiTheme="minorHAnsi" w:hAnsiTheme="minorHAnsi" w:cstheme="minorHAnsi"/>
        </w:rPr>
        <w:t>Electricity prices in March of this year were averaging more than four times the prices that were being achieved at the time of the completion of the El Romeral acquisition in March 2021</w:t>
      </w:r>
      <w:r w:rsidR="0006164F" w:rsidRPr="00C37A27">
        <w:rPr>
          <w:rFonts w:asciiTheme="minorHAnsi" w:hAnsiTheme="minorHAnsi" w:cstheme="minorHAnsi"/>
        </w:rPr>
        <w:t xml:space="preserve">.  </w:t>
      </w:r>
      <w:r w:rsidRPr="00C37A27">
        <w:rPr>
          <w:rFonts w:asciiTheme="minorHAnsi" w:hAnsiTheme="minorHAnsi" w:cstheme="minorHAnsi"/>
        </w:rPr>
        <w:t>Spot market prices have since reduced following the imposition of a gas price cap in Spain, but the power plant is still seeing average spot prices at more than three times the prices in March 2021</w:t>
      </w:r>
      <w:r w:rsidR="0006164F" w:rsidRPr="00C37A27">
        <w:rPr>
          <w:rFonts w:asciiTheme="minorHAnsi" w:hAnsiTheme="minorHAnsi" w:cstheme="minorHAnsi"/>
        </w:rPr>
        <w:t xml:space="preserve">.  </w:t>
      </w:r>
    </w:p>
    <w:p w14:paraId="666CB539" w14:textId="3A1CCAAE" w:rsidR="002A01BF"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Income at the plant has been reinvested in a number of projects to enhance and increase electricity output while we await the permissions to drill further wells in the concessions to bring the power plant back up to its 100% output capacity from its current 30%</w:t>
      </w:r>
      <w:r w:rsidR="0006164F" w:rsidRPr="00C37A27">
        <w:rPr>
          <w:rFonts w:asciiTheme="minorHAnsi" w:hAnsiTheme="minorHAnsi" w:cstheme="minorHAnsi"/>
        </w:rPr>
        <w:t xml:space="preserve">.  </w:t>
      </w:r>
      <w:r w:rsidRPr="00C37A27">
        <w:rPr>
          <w:rFonts w:asciiTheme="minorHAnsi" w:hAnsiTheme="minorHAnsi" w:cstheme="minorHAnsi"/>
        </w:rPr>
        <w:t>These projects include; the full automation of the plant allowing remote operations 24 hours a day 7 days a week; the installation of solar panels on the power plant roof (Project Apollo); the commencement of a larger 5MW solar project adjacent to the plant (Project Helios); investigations to connect Tarba’s local intra-field gas pipeline network to the nearby 26-inch gas network pipeline operated by Enagas; and studies to use some of the suspended wells on the concession for gas storage</w:t>
      </w:r>
      <w:r w:rsidR="0006164F" w:rsidRPr="00C37A27">
        <w:rPr>
          <w:rFonts w:asciiTheme="minorHAnsi" w:hAnsiTheme="minorHAnsi" w:cstheme="minorHAnsi"/>
        </w:rPr>
        <w:t>.</w:t>
      </w:r>
    </w:p>
    <w:p w14:paraId="7D9843F5" w14:textId="77777777" w:rsidR="002A26BE" w:rsidRPr="00C37A27" w:rsidRDefault="002A26BE" w:rsidP="002A01BF">
      <w:pPr>
        <w:pStyle w:val="BodyText"/>
        <w:spacing w:after="120" w:line="340" w:lineRule="exact"/>
        <w:ind w:left="0"/>
        <w:jc w:val="both"/>
        <w:rPr>
          <w:rFonts w:asciiTheme="minorHAnsi" w:hAnsiTheme="minorHAnsi" w:cstheme="minorHAnsi"/>
        </w:rPr>
      </w:pPr>
    </w:p>
    <w:p w14:paraId="48298412" w14:textId="77777777" w:rsidR="000C75B0" w:rsidRDefault="000C75B0">
      <w:pPr>
        <w:rPr>
          <w:rFonts w:asciiTheme="minorHAnsi" w:eastAsia="Calibri Light" w:hAnsiTheme="minorHAnsi" w:cstheme="minorHAnsi"/>
          <w:b/>
          <w:bCs/>
          <w:sz w:val="22"/>
          <w:szCs w:val="22"/>
          <w:u w:val="single"/>
        </w:rPr>
      </w:pPr>
      <w:r>
        <w:rPr>
          <w:rFonts w:asciiTheme="minorHAnsi" w:hAnsiTheme="minorHAnsi" w:cstheme="minorHAnsi"/>
          <w:b/>
          <w:bCs/>
          <w:u w:val="single"/>
        </w:rPr>
        <w:br w:type="page"/>
      </w:r>
    </w:p>
    <w:p w14:paraId="73712851" w14:textId="40639A76" w:rsidR="002A01BF" w:rsidRPr="00C37A27" w:rsidRDefault="002A01BF" w:rsidP="002A01BF">
      <w:pPr>
        <w:pStyle w:val="BodyText"/>
        <w:spacing w:after="120" w:line="340" w:lineRule="exact"/>
        <w:ind w:left="0"/>
        <w:jc w:val="both"/>
        <w:rPr>
          <w:rFonts w:asciiTheme="minorHAnsi" w:hAnsiTheme="minorHAnsi" w:cstheme="minorHAnsi"/>
          <w:b/>
          <w:bCs/>
          <w:u w:val="single"/>
        </w:rPr>
      </w:pPr>
      <w:r w:rsidRPr="00C37A27">
        <w:rPr>
          <w:rFonts w:asciiTheme="minorHAnsi" w:hAnsiTheme="minorHAnsi" w:cstheme="minorHAnsi"/>
          <w:b/>
          <w:bCs/>
          <w:u w:val="single"/>
        </w:rPr>
        <w:lastRenderedPageBreak/>
        <w:t>Gas as the Transition Fuel</w:t>
      </w:r>
    </w:p>
    <w:p w14:paraId="572498BF" w14:textId="613F6971" w:rsidR="00D3681C" w:rsidRPr="00C37A27" w:rsidRDefault="002A01BF" w:rsidP="002A01BF">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There is now a growing acceptance that natural gas is the transition fuel to move us towards a greater proportion of Europe’s energy supply from renewables and less carbon intensive energy sources. </w:t>
      </w:r>
      <w:r w:rsidR="00D3681C" w:rsidRPr="00C37A27">
        <w:rPr>
          <w:rFonts w:asciiTheme="minorHAnsi" w:hAnsiTheme="minorHAnsi" w:cstheme="minorHAnsi"/>
        </w:rPr>
        <w:t xml:space="preserve"> </w:t>
      </w:r>
      <w:r w:rsidRPr="00C37A27">
        <w:rPr>
          <w:rFonts w:asciiTheme="minorHAnsi" w:hAnsiTheme="minorHAnsi" w:cstheme="minorHAnsi"/>
        </w:rPr>
        <w:t>The EU has declared that natural gas should be considered a green energy source in this energy transition journey.</w:t>
      </w:r>
      <w:r w:rsidR="00D3681C" w:rsidRPr="00C37A27">
        <w:rPr>
          <w:rFonts w:asciiTheme="minorHAnsi" w:hAnsiTheme="minorHAnsi" w:cstheme="minorHAnsi"/>
        </w:rPr>
        <w:t xml:space="preserve"> </w:t>
      </w:r>
      <w:r w:rsidRPr="00C37A27">
        <w:rPr>
          <w:rFonts w:asciiTheme="minorHAnsi" w:hAnsiTheme="minorHAnsi" w:cstheme="minorHAnsi"/>
        </w:rPr>
        <w:t xml:space="preserve"> It is no mistake that Prospex is focussed on natural gas and now an increasing mix of renewable energy sources from its portfolio of onshore assets. </w:t>
      </w:r>
      <w:r w:rsidR="00D3681C" w:rsidRPr="00C37A27">
        <w:rPr>
          <w:rFonts w:asciiTheme="minorHAnsi" w:hAnsiTheme="minorHAnsi" w:cstheme="minorHAnsi"/>
        </w:rPr>
        <w:t xml:space="preserve"> </w:t>
      </w:r>
      <w:r w:rsidRPr="00C37A27">
        <w:rPr>
          <w:rFonts w:asciiTheme="minorHAnsi" w:hAnsiTheme="minorHAnsi" w:cstheme="minorHAnsi"/>
        </w:rPr>
        <w:t>Locally sourced, indigenous onshore gas has a carbon footprint some thirty times lower than the transportation of Liquefied Natural Gas (LNG) between continents, once the carbon footprint of the liquefication, transportation and regasification of LNG is added to the equation.</w:t>
      </w:r>
    </w:p>
    <w:p w14:paraId="58BCF3A8" w14:textId="77D240B0" w:rsidR="00D3681C" w:rsidRPr="00C37A27" w:rsidRDefault="00D3681C">
      <w:pPr>
        <w:rPr>
          <w:rFonts w:asciiTheme="minorHAnsi" w:eastAsia="Calibri Light" w:hAnsiTheme="minorHAnsi" w:cstheme="minorHAnsi"/>
          <w:sz w:val="22"/>
          <w:szCs w:val="22"/>
        </w:rPr>
      </w:pPr>
    </w:p>
    <w:p w14:paraId="3F15BEF3" w14:textId="3A7AC23F" w:rsidR="00D3681C" w:rsidRPr="00C37A27" w:rsidRDefault="00D3681C" w:rsidP="00D3681C">
      <w:pPr>
        <w:pStyle w:val="BodyText"/>
        <w:spacing w:after="120" w:line="340" w:lineRule="exact"/>
        <w:ind w:left="0"/>
        <w:jc w:val="both"/>
        <w:rPr>
          <w:rFonts w:asciiTheme="minorHAnsi" w:hAnsiTheme="minorHAnsi" w:cstheme="minorHAnsi"/>
          <w:b/>
          <w:bCs/>
          <w:u w:val="single"/>
        </w:rPr>
      </w:pPr>
      <w:r w:rsidRPr="00C37A27">
        <w:rPr>
          <w:rFonts w:asciiTheme="minorHAnsi" w:hAnsiTheme="minorHAnsi" w:cstheme="minorHAnsi"/>
          <w:b/>
          <w:bCs/>
          <w:u w:val="single"/>
        </w:rPr>
        <w:t>Business Development</w:t>
      </w:r>
    </w:p>
    <w:p w14:paraId="3E3EEAF7" w14:textId="77777777" w:rsidR="007609B8" w:rsidRDefault="00D3681C" w:rsidP="00D3681C">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With the current shortage of gas across Europe, markets have experienced historically high gas and electricity prices.  The Prospex Board recognises that current energy prices are not sustainable in the long term, so, whilst benefiting from the increased demand and pricing, Prospex has continued to apply a conservative approach when looking at forward energy prices in the valuation of its assets.  In the current environment, governments are rightly taking steps to find alternative energy sources, improve energy security and reduce energy costs to end consumers.  </w:t>
      </w:r>
    </w:p>
    <w:p w14:paraId="404B35BC" w14:textId="4D03AF19" w:rsidR="00D3681C" w:rsidRPr="00C37A27" w:rsidRDefault="00D3681C" w:rsidP="00D3681C">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Prospex is well positioned to contribute positively in all these areas.  There is growing recognition that natural gas will be required and that local indigenous onshore gas is the optimum source to meet this need.  With the strength of our team and our assets, Prospex is dedicated to shareholder value gained in a responsible manner.  The outlook for Prospex is growth in cash flow creating growth in opportunity.  With Selva expected to commence production in Q2-2023 as well as the other organic opportunities, the year ahead promises to see major progress.</w:t>
      </w:r>
    </w:p>
    <w:p w14:paraId="3204B1D4" w14:textId="19CAA0F2" w:rsidR="002A01BF" w:rsidRDefault="002A01BF" w:rsidP="002A01BF">
      <w:pPr>
        <w:spacing w:line="340" w:lineRule="exact"/>
        <w:rPr>
          <w:rFonts w:asciiTheme="minorHAnsi" w:hAnsiTheme="minorHAnsi" w:cstheme="minorHAnsi"/>
          <w:b/>
          <w:sz w:val="22"/>
          <w:szCs w:val="22"/>
        </w:rPr>
      </w:pPr>
    </w:p>
    <w:p w14:paraId="265B7180" w14:textId="77777777" w:rsidR="000C75B0" w:rsidRPr="00C37A27" w:rsidRDefault="000C75B0" w:rsidP="002A01BF">
      <w:pPr>
        <w:spacing w:line="340" w:lineRule="exact"/>
        <w:rPr>
          <w:rFonts w:asciiTheme="minorHAnsi" w:hAnsiTheme="minorHAnsi" w:cstheme="minorHAnsi"/>
          <w:b/>
          <w:sz w:val="22"/>
          <w:szCs w:val="22"/>
        </w:rPr>
      </w:pPr>
    </w:p>
    <w:p w14:paraId="268BC06E" w14:textId="77777777" w:rsidR="000C75B0" w:rsidRDefault="000C75B0">
      <w:pPr>
        <w:rPr>
          <w:rFonts w:asciiTheme="minorHAnsi" w:eastAsia="Calibri Light" w:hAnsiTheme="minorHAnsi" w:cstheme="minorHAnsi"/>
          <w:b/>
          <w:bCs/>
          <w:sz w:val="22"/>
          <w:szCs w:val="22"/>
        </w:rPr>
      </w:pPr>
      <w:r>
        <w:rPr>
          <w:rFonts w:asciiTheme="minorHAnsi" w:hAnsiTheme="minorHAnsi" w:cstheme="minorHAnsi"/>
          <w:b/>
          <w:bCs/>
        </w:rPr>
        <w:br w:type="page"/>
      </w:r>
    </w:p>
    <w:p w14:paraId="7926CEB4" w14:textId="5A62023E" w:rsidR="002A01BF" w:rsidRDefault="002A01BF" w:rsidP="002A01BF">
      <w:pPr>
        <w:pStyle w:val="BodyText"/>
        <w:spacing w:line="340" w:lineRule="exact"/>
        <w:ind w:left="0"/>
        <w:jc w:val="both"/>
        <w:rPr>
          <w:rFonts w:asciiTheme="minorHAnsi" w:hAnsiTheme="minorHAnsi" w:cstheme="minorHAnsi"/>
          <w:b/>
          <w:bCs/>
        </w:rPr>
      </w:pPr>
      <w:r w:rsidRPr="00C37A27">
        <w:rPr>
          <w:rFonts w:asciiTheme="minorHAnsi" w:hAnsiTheme="minorHAnsi" w:cstheme="minorHAnsi"/>
          <w:b/>
          <w:bCs/>
        </w:rPr>
        <w:lastRenderedPageBreak/>
        <w:t>CHAIRMAN’S STATEMENT</w:t>
      </w:r>
    </w:p>
    <w:p w14:paraId="7CFCECE5" w14:textId="77777777" w:rsidR="000C75B0" w:rsidRPr="00C37A27" w:rsidRDefault="000C75B0" w:rsidP="002A01BF">
      <w:pPr>
        <w:pStyle w:val="BodyText"/>
        <w:spacing w:line="340" w:lineRule="exact"/>
        <w:ind w:left="0"/>
        <w:jc w:val="both"/>
        <w:rPr>
          <w:rFonts w:asciiTheme="minorHAnsi" w:hAnsiTheme="minorHAnsi" w:cstheme="minorHAnsi"/>
          <w:b/>
          <w:bCs/>
        </w:rPr>
      </w:pPr>
    </w:p>
    <w:p w14:paraId="60D4D489" w14:textId="77777777" w:rsidR="002A01BF" w:rsidRPr="00C37A27" w:rsidRDefault="002A01BF" w:rsidP="002A01BF">
      <w:pPr>
        <w:pStyle w:val="BodyText"/>
        <w:spacing w:line="340" w:lineRule="exact"/>
        <w:ind w:left="0" w:right="-63"/>
        <w:jc w:val="both"/>
        <w:rPr>
          <w:rFonts w:asciiTheme="minorHAnsi" w:hAnsiTheme="minorHAnsi" w:cstheme="minorHAnsi"/>
          <w:b/>
          <w:bCs/>
          <w:u w:val="single"/>
        </w:rPr>
      </w:pPr>
      <w:r w:rsidRPr="00C37A27">
        <w:rPr>
          <w:rFonts w:asciiTheme="minorHAnsi" w:hAnsiTheme="minorHAnsi" w:cstheme="minorHAnsi"/>
          <w:b/>
          <w:bCs/>
          <w:u w:val="single"/>
        </w:rPr>
        <w:t>Operational Report</w:t>
      </w:r>
    </w:p>
    <w:p w14:paraId="42C0EFDF" w14:textId="69688FC7" w:rsidR="002A01BF" w:rsidRDefault="002A01BF" w:rsidP="002A01BF">
      <w:pPr>
        <w:pStyle w:val="BodyText"/>
        <w:spacing w:line="340" w:lineRule="exact"/>
        <w:ind w:left="0"/>
        <w:jc w:val="both"/>
        <w:rPr>
          <w:rFonts w:asciiTheme="minorHAnsi" w:hAnsiTheme="minorHAnsi" w:cstheme="minorHAnsi"/>
        </w:rPr>
      </w:pPr>
      <w:r w:rsidRPr="00C37A27">
        <w:rPr>
          <w:rFonts w:asciiTheme="minorHAnsi" w:hAnsiTheme="minorHAnsi" w:cstheme="minorHAnsi"/>
        </w:rPr>
        <w:t>The first six months of 2022 ha</w:t>
      </w:r>
      <w:r w:rsidR="004E5355" w:rsidRPr="00C37A27">
        <w:rPr>
          <w:rFonts w:asciiTheme="minorHAnsi" w:hAnsiTheme="minorHAnsi" w:cstheme="minorHAnsi"/>
        </w:rPr>
        <w:t>ve</w:t>
      </w:r>
      <w:r w:rsidRPr="00C37A27">
        <w:rPr>
          <w:rFonts w:asciiTheme="minorHAnsi" w:hAnsiTheme="minorHAnsi" w:cstheme="minorHAnsi"/>
        </w:rPr>
        <w:t xml:space="preserve"> seen </w:t>
      </w:r>
      <w:r w:rsidR="004E5355" w:rsidRPr="00C37A27">
        <w:rPr>
          <w:rFonts w:asciiTheme="minorHAnsi" w:hAnsiTheme="minorHAnsi" w:cstheme="minorHAnsi"/>
        </w:rPr>
        <w:t>exciting progress</w:t>
      </w:r>
      <w:r w:rsidRPr="00C37A27">
        <w:rPr>
          <w:rFonts w:asciiTheme="minorHAnsi" w:hAnsiTheme="minorHAnsi" w:cstheme="minorHAnsi"/>
        </w:rPr>
        <w:t xml:space="preserve"> in the Company’s key investments in Italy and Spain.</w:t>
      </w:r>
    </w:p>
    <w:p w14:paraId="7EBF20D7" w14:textId="5604F17E" w:rsidR="002A01BF" w:rsidRPr="00C37A27" w:rsidRDefault="002A01BF" w:rsidP="002A01BF">
      <w:pPr>
        <w:pStyle w:val="BodyText"/>
        <w:spacing w:line="340" w:lineRule="exact"/>
        <w:ind w:left="0"/>
        <w:jc w:val="both"/>
        <w:rPr>
          <w:rFonts w:asciiTheme="minorHAnsi" w:hAnsiTheme="minorHAnsi" w:cstheme="minorHAnsi"/>
        </w:rPr>
      </w:pPr>
      <w:r w:rsidRPr="00C37A27">
        <w:rPr>
          <w:rFonts w:asciiTheme="minorHAnsi" w:hAnsiTheme="minorHAnsi" w:cstheme="minorHAnsi"/>
        </w:rPr>
        <w:t>Prospex has benefitted from the significant increases in electricity prices</w:t>
      </w:r>
      <w:r w:rsidR="00715A01" w:rsidRPr="00C37A27">
        <w:rPr>
          <w:rFonts w:asciiTheme="minorHAnsi" w:hAnsiTheme="minorHAnsi" w:cstheme="minorHAnsi"/>
        </w:rPr>
        <w:t xml:space="preserve"> in Spain </w:t>
      </w:r>
      <w:r w:rsidRPr="00C37A27">
        <w:rPr>
          <w:rFonts w:asciiTheme="minorHAnsi" w:hAnsiTheme="minorHAnsi" w:cstheme="minorHAnsi"/>
        </w:rPr>
        <w:t>during the period</w:t>
      </w:r>
      <w:r w:rsidR="00715A01" w:rsidRPr="00C37A27">
        <w:rPr>
          <w:rFonts w:asciiTheme="minorHAnsi" w:hAnsiTheme="minorHAnsi" w:cstheme="minorHAnsi"/>
        </w:rPr>
        <w:t xml:space="preserve"> and with the Selva field coming on stream in Q2 2023, will experience </w:t>
      </w:r>
      <w:r w:rsidR="000D10D9" w:rsidRPr="00C37A27">
        <w:rPr>
          <w:rFonts w:asciiTheme="minorHAnsi" w:hAnsiTheme="minorHAnsi" w:cstheme="minorHAnsi"/>
        </w:rPr>
        <w:t>greatly increased</w:t>
      </w:r>
      <w:r w:rsidR="00715A01" w:rsidRPr="00C37A27">
        <w:rPr>
          <w:rFonts w:asciiTheme="minorHAnsi" w:hAnsiTheme="minorHAnsi" w:cstheme="minorHAnsi"/>
        </w:rPr>
        <w:t xml:space="preserve"> cash flows from the sale of natural gas in Italy.  </w:t>
      </w:r>
      <w:r w:rsidR="00D521B4" w:rsidRPr="00C37A27">
        <w:rPr>
          <w:rFonts w:asciiTheme="minorHAnsi" w:hAnsiTheme="minorHAnsi" w:cstheme="minorHAnsi"/>
        </w:rPr>
        <w:t xml:space="preserve">There has been a significant increase in the pricing of both electricity and natural gas due to world events and your </w:t>
      </w:r>
      <w:r w:rsidR="0059733B" w:rsidRPr="00C37A27">
        <w:rPr>
          <w:rFonts w:asciiTheme="minorHAnsi" w:hAnsiTheme="minorHAnsi" w:cstheme="minorHAnsi"/>
        </w:rPr>
        <w:t>Company</w:t>
      </w:r>
      <w:r w:rsidR="00D521B4" w:rsidRPr="00C37A27">
        <w:rPr>
          <w:rFonts w:asciiTheme="minorHAnsi" w:hAnsiTheme="minorHAnsi" w:cstheme="minorHAnsi"/>
        </w:rPr>
        <w:t xml:space="preserve"> has budgeted very </w:t>
      </w:r>
      <w:r w:rsidR="0059733B" w:rsidRPr="00C37A27">
        <w:rPr>
          <w:rFonts w:asciiTheme="minorHAnsi" w:hAnsiTheme="minorHAnsi" w:cstheme="minorHAnsi"/>
        </w:rPr>
        <w:t>conservatively</w:t>
      </w:r>
      <w:r w:rsidR="00D521B4" w:rsidRPr="00C37A27">
        <w:rPr>
          <w:rFonts w:asciiTheme="minorHAnsi" w:hAnsiTheme="minorHAnsi" w:cstheme="minorHAnsi"/>
        </w:rPr>
        <w:t xml:space="preserve"> as </w:t>
      </w:r>
      <w:r w:rsidR="0059733B" w:rsidRPr="00C37A27">
        <w:rPr>
          <w:rFonts w:asciiTheme="minorHAnsi" w:hAnsiTheme="minorHAnsi" w:cstheme="minorHAnsi"/>
        </w:rPr>
        <w:t>pricing can be impacted by any number of events, including direct regulation by governments as well as supply and demand issues</w:t>
      </w:r>
      <w:r w:rsidR="00333008" w:rsidRPr="00C37A27">
        <w:rPr>
          <w:rFonts w:asciiTheme="minorHAnsi" w:hAnsiTheme="minorHAnsi" w:cstheme="minorHAnsi"/>
        </w:rPr>
        <w:t xml:space="preserve">. </w:t>
      </w:r>
      <w:r w:rsidRPr="00C37A27">
        <w:rPr>
          <w:rFonts w:asciiTheme="minorHAnsi" w:hAnsiTheme="minorHAnsi" w:cstheme="minorHAnsi"/>
        </w:rPr>
        <w:t xml:space="preserve"> The Company </w:t>
      </w:r>
      <w:r w:rsidR="00494713" w:rsidRPr="00C37A27">
        <w:rPr>
          <w:rFonts w:asciiTheme="minorHAnsi" w:hAnsiTheme="minorHAnsi" w:cstheme="minorHAnsi"/>
        </w:rPr>
        <w:t xml:space="preserve">has some opportunities for investment on attractive terms within its existing portfolio in both Italy and Spain </w:t>
      </w:r>
      <w:r w:rsidR="009B1AE2" w:rsidRPr="00C37A27">
        <w:rPr>
          <w:rFonts w:asciiTheme="minorHAnsi" w:hAnsiTheme="minorHAnsi" w:cstheme="minorHAnsi"/>
        </w:rPr>
        <w:t xml:space="preserve">subject to </w:t>
      </w:r>
      <w:r w:rsidR="00D37EE9" w:rsidRPr="00C37A27">
        <w:rPr>
          <w:rFonts w:asciiTheme="minorHAnsi" w:hAnsiTheme="minorHAnsi" w:cstheme="minorHAnsi"/>
        </w:rPr>
        <w:t xml:space="preserve">economic and </w:t>
      </w:r>
      <w:r w:rsidR="0088056F" w:rsidRPr="00C37A27">
        <w:rPr>
          <w:rFonts w:asciiTheme="minorHAnsi" w:hAnsiTheme="minorHAnsi" w:cstheme="minorHAnsi"/>
        </w:rPr>
        <w:t>regulatory</w:t>
      </w:r>
      <w:r w:rsidR="00D37EE9" w:rsidRPr="00C37A27">
        <w:rPr>
          <w:rFonts w:asciiTheme="minorHAnsi" w:hAnsiTheme="minorHAnsi" w:cstheme="minorHAnsi"/>
        </w:rPr>
        <w:t xml:space="preserve"> condition</w:t>
      </w:r>
      <w:r w:rsidR="00CA050F" w:rsidRPr="00C37A27">
        <w:rPr>
          <w:rFonts w:asciiTheme="minorHAnsi" w:hAnsiTheme="minorHAnsi" w:cstheme="minorHAnsi"/>
        </w:rPr>
        <w:t>s.</w:t>
      </w:r>
      <w:r w:rsidR="00D37EE9" w:rsidRPr="00C37A27">
        <w:rPr>
          <w:rFonts w:asciiTheme="minorHAnsi" w:hAnsiTheme="minorHAnsi" w:cstheme="minorHAnsi"/>
        </w:rPr>
        <w:t xml:space="preserve"> </w:t>
      </w:r>
      <w:r w:rsidR="00333008" w:rsidRPr="00C37A27">
        <w:rPr>
          <w:rFonts w:asciiTheme="minorHAnsi" w:hAnsiTheme="minorHAnsi" w:cstheme="minorHAnsi"/>
        </w:rPr>
        <w:t xml:space="preserve"> </w:t>
      </w:r>
      <w:r w:rsidR="00D37EE9" w:rsidRPr="00C37A27">
        <w:rPr>
          <w:rFonts w:asciiTheme="minorHAnsi" w:hAnsiTheme="minorHAnsi" w:cstheme="minorHAnsi"/>
        </w:rPr>
        <w:t xml:space="preserve">The continued focus is </w:t>
      </w:r>
      <w:r w:rsidRPr="00C37A27">
        <w:rPr>
          <w:rFonts w:asciiTheme="minorHAnsi" w:hAnsiTheme="minorHAnsi" w:cstheme="minorHAnsi"/>
        </w:rPr>
        <w:t>natural gas onshore in Europe</w:t>
      </w:r>
      <w:r w:rsidR="0088056F" w:rsidRPr="00C37A27">
        <w:rPr>
          <w:rFonts w:asciiTheme="minorHAnsi" w:hAnsiTheme="minorHAnsi" w:cstheme="minorHAnsi"/>
        </w:rPr>
        <w:t xml:space="preserve"> in accordance with our view of natural gas as a transition fuel.  Other investment opportunities in renewable energy or ancillary projects </w:t>
      </w:r>
      <w:r w:rsidR="00EF4A76" w:rsidRPr="00C37A27">
        <w:rPr>
          <w:rFonts w:asciiTheme="minorHAnsi" w:hAnsiTheme="minorHAnsi" w:cstheme="minorHAnsi"/>
        </w:rPr>
        <w:t>may</w:t>
      </w:r>
      <w:r w:rsidR="0088056F" w:rsidRPr="00C37A27">
        <w:rPr>
          <w:rFonts w:asciiTheme="minorHAnsi" w:hAnsiTheme="minorHAnsi" w:cstheme="minorHAnsi"/>
        </w:rPr>
        <w:t xml:space="preserve"> also be sought</w:t>
      </w:r>
      <w:r w:rsidRPr="00C37A27">
        <w:rPr>
          <w:rFonts w:asciiTheme="minorHAnsi" w:hAnsiTheme="minorHAnsi" w:cstheme="minorHAnsi"/>
        </w:rPr>
        <w:t xml:space="preserve">. </w:t>
      </w:r>
      <w:r w:rsidR="00333008" w:rsidRPr="00C37A27">
        <w:rPr>
          <w:rFonts w:asciiTheme="minorHAnsi" w:hAnsiTheme="minorHAnsi" w:cstheme="minorHAnsi"/>
        </w:rPr>
        <w:t xml:space="preserve"> </w:t>
      </w:r>
      <w:r w:rsidRPr="00C37A27">
        <w:rPr>
          <w:rFonts w:asciiTheme="minorHAnsi" w:hAnsiTheme="minorHAnsi" w:cstheme="minorHAnsi"/>
        </w:rPr>
        <w:t>Several business development opportunities have been and are being evaluated</w:t>
      </w:r>
      <w:r w:rsidR="000D10D9" w:rsidRPr="00C37A27">
        <w:rPr>
          <w:rFonts w:asciiTheme="minorHAnsi" w:hAnsiTheme="minorHAnsi" w:cstheme="minorHAnsi"/>
        </w:rPr>
        <w:t xml:space="preserve"> in a disciplined manner given price volatility</w:t>
      </w:r>
      <w:r w:rsidR="00EF4A76" w:rsidRPr="00C37A27">
        <w:rPr>
          <w:rFonts w:asciiTheme="minorHAnsi" w:hAnsiTheme="minorHAnsi" w:cstheme="minorHAnsi"/>
        </w:rPr>
        <w:t>,</w:t>
      </w:r>
      <w:r w:rsidR="000D10D9" w:rsidRPr="00C37A27">
        <w:rPr>
          <w:rFonts w:asciiTheme="minorHAnsi" w:hAnsiTheme="minorHAnsi" w:cstheme="minorHAnsi"/>
        </w:rPr>
        <w:t xml:space="preserve"> which make it </w:t>
      </w:r>
      <w:r w:rsidR="001B736B" w:rsidRPr="00C37A27">
        <w:rPr>
          <w:rFonts w:asciiTheme="minorHAnsi" w:hAnsiTheme="minorHAnsi" w:cstheme="minorHAnsi"/>
        </w:rPr>
        <w:t xml:space="preserve">even more challenging </w:t>
      </w:r>
      <w:r w:rsidR="000D10D9" w:rsidRPr="00C37A27">
        <w:rPr>
          <w:rFonts w:asciiTheme="minorHAnsi" w:hAnsiTheme="minorHAnsi" w:cstheme="minorHAnsi"/>
        </w:rPr>
        <w:t>to secure attractive opportunities.</w:t>
      </w:r>
    </w:p>
    <w:p w14:paraId="39B0BF76" w14:textId="77777777" w:rsidR="00710856" w:rsidRPr="00C37A27" w:rsidRDefault="00710856" w:rsidP="00B565B2">
      <w:pPr>
        <w:pStyle w:val="BodyText"/>
        <w:spacing w:line="340" w:lineRule="exact"/>
        <w:ind w:left="0"/>
        <w:jc w:val="both"/>
        <w:rPr>
          <w:rFonts w:asciiTheme="minorHAnsi" w:hAnsiTheme="minorHAnsi" w:cstheme="minorHAnsi"/>
        </w:rPr>
      </w:pPr>
    </w:p>
    <w:p w14:paraId="032195E3" w14:textId="4F5CE457" w:rsidR="00B05EF3" w:rsidRPr="00C37A27" w:rsidRDefault="00B05EF3" w:rsidP="00B565B2">
      <w:pPr>
        <w:pStyle w:val="BodyText"/>
        <w:spacing w:line="340" w:lineRule="exact"/>
        <w:ind w:left="0"/>
        <w:jc w:val="both"/>
        <w:rPr>
          <w:rFonts w:asciiTheme="minorHAnsi" w:hAnsiTheme="minorHAnsi" w:cstheme="minorHAnsi"/>
          <w:b/>
          <w:bCs/>
          <w:u w:val="single"/>
        </w:rPr>
      </w:pPr>
      <w:r w:rsidRPr="00C37A27">
        <w:rPr>
          <w:rFonts w:asciiTheme="minorHAnsi" w:hAnsiTheme="minorHAnsi" w:cstheme="minorHAnsi"/>
          <w:b/>
          <w:bCs/>
          <w:u w:val="single"/>
        </w:rPr>
        <w:t>Financial Review</w:t>
      </w:r>
    </w:p>
    <w:p w14:paraId="3A7FC7A2" w14:textId="6D28F424" w:rsidR="00B05EF3" w:rsidRPr="00C37A27" w:rsidRDefault="00B05EF3" w:rsidP="009A5A69">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For the six months ended 30 June 202</w:t>
      </w:r>
      <w:r w:rsidR="00710856" w:rsidRPr="00C37A27">
        <w:rPr>
          <w:rFonts w:asciiTheme="minorHAnsi" w:hAnsiTheme="minorHAnsi" w:cstheme="minorHAnsi"/>
        </w:rPr>
        <w:t>2</w:t>
      </w:r>
      <w:r w:rsidRPr="00C37A27">
        <w:rPr>
          <w:rFonts w:asciiTheme="minorHAnsi" w:hAnsiTheme="minorHAnsi" w:cstheme="minorHAnsi"/>
        </w:rPr>
        <w:t xml:space="preserve">, the Company is reporting a net </w:t>
      </w:r>
      <w:r w:rsidR="0086231C" w:rsidRPr="00C37A27">
        <w:rPr>
          <w:rFonts w:asciiTheme="minorHAnsi" w:hAnsiTheme="minorHAnsi" w:cstheme="minorHAnsi"/>
        </w:rPr>
        <w:t>profit</w:t>
      </w:r>
      <w:r w:rsidRPr="00C37A27">
        <w:rPr>
          <w:rFonts w:asciiTheme="minorHAnsi" w:hAnsiTheme="minorHAnsi" w:cstheme="minorHAnsi"/>
        </w:rPr>
        <w:t xml:space="preserve"> after taxation from continuing operations of £</w:t>
      </w:r>
      <w:r w:rsidR="0086231C" w:rsidRPr="00C37A27">
        <w:rPr>
          <w:rFonts w:asciiTheme="minorHAnsi" w:hAnsiTheme="minorHAnsi" w:cstheme="minorHAnsi"/>
        </w:rPr>
        <w:t>5,120</w:t>
      </w:r>
      <w:r w:rsidR="006001CA" w:rsidRPr="00C37A27">
        <w:rPr>
          <w:rFonts w:asciiTheme="minorHAnsi" w:hAnsiTheme="minorHAnsi" w:cstheme="minorHAnsi"/>
        </w:rPr>
        <w:t>,408</w:t>
      </w:r>
      <w:r w:rsidRPr="00C37A27">
        <w:rPr>
          <w:rFonts w:asciiTheme="minorHAnsi" w:hAnsiTheme="minorHAnsi" w:cstheme="minorHAnsi"/>
        </w:rPr>
        <w:t xml:space="preserve"> (H1 202</w:t>
      </w:r>
      <w:r w:rsidR="000E105F" w:rsidRPr="00C37A27">
        <w:rPr>
          <w:rFonts w:asciiTheme="minorHAnsi" w:hAnsiTheme="minorHAnsi" w:cstheme="minorHAnsi"/>
        </w:rPr>
        <w:t>1</w:t>
      </w:r>
      <w:r w:rsidRPr="00C37A27">
        <w:rPr>
          <w:rFonts w:asciiTheme="minorHAnsi" w:hAnsiTheme="minorHAnsi" w:cstheme="minorHAnsi"/>
        </w:rPr>
        <w:t xml:space="preserve">: </w:t>
      </w:r>
      <w:r w:rsidR="000E105F" w:rsidRPr="00C37A27">
        <w:rPr>
          <w:rFonts w:asciiTheme="minorHAnsi" w:hAnsiTheme="minorHAnsi" w:cstheme="minorHAnsi"/>
        </w:rPr>
        <w:t>profit</w:t>
      </w:r>
      <w:r w:rsidRPr="00C37A27">
        <w:rPr>
          <w:rFonts w:asciiTheme="minorHAnsi" w:hAnsiTheme="minorHAnsi" w:cstheme="minorHAnsi"/>
        </w:rPr>
        <w:t xml:space="preserve"> - £1</w:t>
      </w:r>
      <w:r w:rsidR="000E105F" w:rsidRPr="00C37A27">
        <w:rPr>
          <w:rFonts w:asciiTheme="minorHAnsi" w:hAnsiTheme="minorHAnsi" w:cstheme="minorHAnsi"/>
        </w:rPr>
        <w:t>29</w:t>
      </w:r>
      <w:r w:rsidR="0070099C" w:rsidRPr="00C37A27">
        <w:rPr>
          <w:rFonts w:asciiTheme="minorHAnsi" w:hAnsiTheme="minorHAnsi" w:cstheme="minorHAnsi"/>
        </w:rPr>
        <w:t>,</w:t>
      </w:r>
      <w:r w:rsidR="00AF4AB7" w:rsidRPr="00C37A27">
        <w:rPr>
          <w:rFonts w:asciiTheme="minorHAnsi" w:hAnsiTheme="minorHAnsi" w:cstheme="minorHAnsi"/>
        </w:rPr>
        <w:t>3</w:t>
      </w:r>
      <w:r w:rsidR="0070099C" w:rsidRPr="00C37A27">
        <w:rPr>
          <w:rFonts w:asciiTheme="minorHAnsi" w:hAnsiTheme="minorHAnsi" w:cstheme="minorHAnsi"/>
        </w:rPr>
        <w:t>56</w:t>
      </w:r>
      <w:r w:rsidRPr="00C37A27">
        <w:rPr>
          <w:rFonts w:asciiTheme="minorHAnsi" w:hAnsiTheme="minorHAnsi" w:cstheme="minorHAnsi"/>
        </w:rPr>
        <w:t xml:space="preserve">).  Unrealised gains arising on revaluation of financial assets at fair value totalled </w:t>
      </w:r>
      <w:r w:rsidR="006416FD" w:rsidRPr="00C37A27">
        <w:rPr>
          <w:rFonts w:asciiTheme="minorHAnsi" w:hAnsiTheme="minorHAnsi" w:cstheme="minorHAnsi"/>
        </w:rPr>
        <w:t xml:space="preserve">£7,645,980 </w:t>
      </w:r>
      <w:r w:rsidRPr="00C37A27">
        <w:rPr>
          <w:rFonts w:asciiTheme="minorHAnsi" w:hAnsiTheme="minorHAnsi" w:cstheme="minorHAnsi"/>
        </w:rPr>
        <w:t>(H1 202</w:t>
      </w:r>
      <w:r w:rsidR="0070099C" w:rsidRPr="00C37A27">
        <w:rPr>
          <w:rFonts w:asciiTheme="minorHAnsi" w:hAnsiTheme="minorHAnsi" w:cstheme="minorHAnsi"/>
        </w:rPr>
        <w:t>1</w:t>
      </w:r>
      <w:r w:rsidRPr="00C37A27">
        <w:rPr>
          <w:rFonts w:asciiTheme="minorHAnsi" w:hAnsiTheme="minorHAnsi" w:cstheme="minorHAnsi"/>
        </w:rPr>
        <w:t xml:space="preserve">: </w:t>
      </w:r>
      <w:r w:rsidR="0070099C" w:rsidRPr="00C37A27">
        <w:rPr>
          <w:rFonts w:asciiTheme="minorHAnsi" w:hAnsiTheme="minorHAnsi" w:cstheme="minorHAnsi"/>
        </w:rPr>
        <w:t>gain</w:t>
      </w:r>
      <w:r w:rsidRPr="00C37A27">
        <w:rPr>
          <w:rFonts w:asciiTheme="minorHAnsi" w:hAnsiTheme="minorHAnsi" w:cstheme="minorHAnsi"/>
        </w:rPr>
        <w:t xml:space="preserve"> - £</w:t>
      </w:r>
      <w:r w:rsidR="0070099C" w:rsidRPr="00C37A27">
        <w:rPr>
          <w:rFonts w:asciiTheme="minorHAnsi" w:hAnsiTheme="minorHAnsi" w:cstheme="minorHAnsi"/>
        </w:rPr>
        <w:t>488</w:t>
      </w:r>
      <w:r w:rsidR="004D45F1" w:rsidRPr="00C37A27">
        <w:rPr>
          <w:rFonts w:asciiTheme="minorHAnsi" w:hAnsiTheme="minorHAnsi" w:cstheme="minorHAnsi"/>
        </w:rPr>
        <w:t>,335</w:t>
      </w:r>
      <w:r w:rsidRPr="00C37A27">
        <w:rPr>
          <w:rFonts w:asciiTheme="minorHAnsi" w:hAnsiTheme="minorHAnsi" w:cstheme="minorHAnsi"/>
        </w:rPr>
        <w:t>).  The</w:t>
      </w:r>
      <w:r w:rsidR="00AF4AB7" w:rsidRPr="00C37A27">
        <w:rPr>
          <w:rFonts w:asciiTheme="minorHAnsi" w:hAnsiTheme="minorHAnsi" w:cstheme="minorHAnsi"/>
        </w:rPr>
        <w:t xml:space="preserve"> 2021 </w:t>
      </w:r>
      <w:r w:rsidRPr="00C37A27">
        <w:rPr>
          <w:rFonts w:asciiTheme="minorHAnsi" w:hAnsiTheme="minorHAnsi" w:cstheme="minorHAnsi"/>
        </w:rPr>
        <w:t xml:space="preserve">unrealised gains </w:t>
      </w:r>
      <w:r w:rsidR="006001CA" w:rsidRPr="00C37A27">
        <w:rPr>
          <w:rFonts w:asciiTheme="minorHAnsi" w:hAnsiTheme="minorHAnsi" w:cstheme="minorHAnsi"/>
        </w:rPr>
        <w:t>is</w:t>
      </w:r>
      <w:r w:rsidRPr="00C37A27">
        <w:rPr>
          <w:rFonts w:asciiTheme="minorHAnsi" w:hAnsiTheme="minorHAnsi" w:cstheme="minorHAnsi"/>
        </w:rPr>
        <w:t xml:space="preserve"> dominated by a revaluation of the Company’s share in its subsidiary PXOG Marshall (in which the assets in </w:t>
      </w:r>
      <w:r w:rsidR="0082656C" w:rsidRPr="00C37A27">
        <w:rPr>
          <w:rFonts w:asciiTheme="minorHAnsi" w:hAnsiTheme="minorHAnsi" w:cstheme="minorHAnsi"/>
        </w:rPr>
        <w:t xml:space="preserve">the </w:t>
      </w:r>
      <w:r w:rsidR="00881287" w:rsidRPr="00C37A27">
        <w:rPr>
          <w:rFonts w:asciiTheme="minorHAnsi" w:hAnsiTheme="minorHAnsi" w:cstheme="minorHAnsi"/>
        </w:rPr>
        <w:t>Podere Gallina</w:t>
      </w:r>
      <w:r w:rsidR="0082656C" w:rsidRPr="00C37A27">
        <w:rPr>
          <w:rFonts w:asciiTheme="minorHAnsi" w:hAnsiTheme="minorHAnsi" w:cstheme="minorHAnsi"/>
        </w:rPr>
        <w:t xml:space="preserve"> licence in Italy </w:t>
      </w:r>
      <w:r w:rsidRPr="00C37A27">
        <w:rPr>
          <w:rFonts w:asciiTheme="minorHAnsi" w:hAnsiTheme="minorHAnsi" w:cstheme="minorHAnsi"/>
        </w:rPr>
        <w:t>are</w:t>
      </w:r>
      <w:r w:rsidR="00FE4A8E" w:rsidRPr="00C37A27">
        <w:rPr>
          <w:rFonts w:asciiTheme="minorHAnsi" w:hAnsiTheme="minorHAnsi" w:cstheme="minorHAnsi"/>
        </w:rPr>
        <w:t xml:space="preserve"> </w:t>
      </w:r>
      <w:r w:rsidRPr="00C37A27">
        <w:rPr>
          <w:rFonts w:asciiTheme="minorHAnsi" w:hAnsiTheme="minorHAnsi" w:cstheme="minorHAnsi"/>
        </w:rPr>
        <w:t>held), where the underlying licence valuation ha</w:t>
      </w:r>
      <w:r w:rsidR="00AF4AB7" w:rsidRPr="00C37A27">
        <w:rPr>
          <w:rFonts w:asciiTheme="minorHAnsi" w:hAnsiTheme="minorHAnsi" w:cstheme="minorHAnsi"/>
        </w:rPr>
        <w:t>d</w:t>
      </w:r>
      <w:r w:rsidRPr="00C37A27">
        <w:rPr>
          <w:rFonts w:asciiTheme="minorHAnsi" w:hAnsiTheme="minorHAnsi" w:cstheme="minorHAnsi"/>
        </w:rPr>
        <w:t xml:space="preserve"> been updated to reflect positive changes in the forward curve of European gas prices.</w:t>
      </w:r>
    </w:p>
    <w:p w14:paraId="531A6519" w14:textId="117C0601" w:rsidR="00B05EF3" w:rsidRPr="00C37A27" w:rsidRDefault="00B05EF3" w:rsidP="009A5A69">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Administrative expenses of £</w:t>
      </w:r>
      <w:r w:rsidR="00284589" w:rsidRPr="00C37A27">
        <w:rPr>
          <w:rFonts w:asciiTheme="minorHAnsi" w:hAnsiTheme="minorHAnsi" w:cstheme="minorHAnsi"/>
        </w:rPr>
        <w:t>501</w:t>
      </w:r>
      <w:r w:rsidR="00635BA4" w:rsidRPr="00C37A27">
        <w:rPr>
          <w:rFonts w:asciiTheme="minorHAnsi" w:hAnsiTheme="minorHAnsi" w:cstheme="minorHAnsi"/>
        </w:rPr>
        <w:t>,967</w:t>
      </w:r>
      <w:r w:rsidRPr="00C37A27">
        <w:rPr>
          <w:rFonts w:asciiTheme="minorHAnsi" w:hAnsiTheme="minorHAnsi" w:cstheme="minorHAnsi"/>
        </w:rPr>
        <w:t xml:space="preserve"> for the year-to-date, compares with £4</w:t>
      </w:r>
      <w:r w:rsidR="00284589" w:rsidRPr="00C37A27">
        <w:rPr>
          <w:rFonts w:asciiTheme="minorHAnsi" w:hAnsiTheme="minorHAnsi" w:cstheme="minorHAnsi"/>
        </w:rPr>
        <w:t>17,126</w:t>
      </w:r>
      <w:r w:rsidRPr="00C37A27">
        <w:rPr>
          <w:rFonts w:asciiTheme="minorHAnsi" w:hAnsiTheme="minorHAnsi" w:cstheme="minorHAnsi"/>
        </w:rPr>
        <w:t xml:space="preserve"> for the six- month period ended 30 June 202</w:t>
      </w:r>
      <w:r w:rsidR="00E5068B" w:rsidRPr="00C37A27">
        <w:rPr>
          <w:rFonts w:asciiTheme="minorHAnsi" w:hAnsiTheme="minorHAnsi" w:cstheme="minorHAnsi"/>
        </w:rPr>
        <w:t>1</w:t>
      </w:r>
      <w:r w:rsidRPr="00C37A27">
        <w:rPr>
          <w:rFonts w:asciiTheme="minorHAnsi" w:hAnsiTheme="minorHAnsi" w:cstheme="minorHAnsi"/>
        </w:rPr>
        <w:t>.</w:t>
      </w:r>
    </w:p>
    <w:p w14:paraId="30D63830" w14:textId="77777777" w:rsidR="00B05EF3" w:rsidRPr="00C37A27" w:rsidRDefault="00B05EF3" w:rsidP="009A5A69">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In </w:t>
      </w:r>
      <w:r w:rsidR="009C5A8E" w:rsidRPr="00C37A27">
        <w:rPr>
          <w:rFonts w:asciiTheme="minorHAnsi" w:hAnsiTheme="minorHAnsi" w:cstheme="minorHAnsi"/>
        </w:rPr>
        <w:t>February</w:t>
      </w:r>
      <w:r w:rsidRPr="00C37A27">
        <w:rPr>
          <w:rFonts w:asciiTheme="minorHAnsi" w:hAnsiTheme="minorHAnsi" w:cstheme="minorHAnsi"/>
        </w:rPr>
        <w:t xml:space="preserve"> 202</w:t>
      </w:r>
      <w:r w:rsidR="009C5A8E" w:rsidRPr="00C37A27">
        <w:rPr>
          <w:rFonts w:asciiTheme="minorHAnsi" w:hAnsiTheme="minorHAnsi" w:cstheme="minorHAnsi"/>
        </w:rPr>
        <w:t>2</w:t>
      </w:r>
      <w:r w:rsidRPr="00C37A27">
        <w:rPr>
          <w:rFonts w:asciiTheme="minorHAnsi" w:hAnsiTheme="minorHAnsi" w:cstheme="minorHAnsi"/>
        </w:rPr>
        <w:t>, the Company raised £</w:t>
      </w:r>
      <w:r w:rsidR="009C5A8E" w:rsidRPr="00C37A27">
        <w:rPr>
          <w:rFonts w:asciiTheme="minorHAnsi" w:hAnsiTheme="minorHAnsi" w:cstheme="minorHAnsi"/>
        </w:rPr>
        <w:t>2,455,000</w:t>
      </w:r>
      <w:r w:rsidRPr="00C37A27">
        <w:rPr>
          <w:rFonts w:asciiTheme="minorHAnsi" w:hAnsiTheme="minorHAnsi" w:cstheme="minorHAnsi"/>
        </w:rPr>
        <w:t xml:space="preserve"> gross via an oversubscribed placing primarily to fund the </w:t>
      </w:r>
      <w:r w:rsidR="0077510E" w:rsidRPr="00C37A27">
        <w:rPr>
          <w:rFonts w:asciiTheme="minorHAnsi" w:hAnsiTheme="minorHAnsi" w:cstheme="minorHAnsi"/>
        </w:rPr>
        <w:t>acqu</w:t>
      </w:r>
      <w:r w:rsidR="00380475" w:rsidRPr="00C37A27">
        <w:rPr>
          <w:rFonts w:asciiTheme="minorHAnsi" w:hAnsiTheme="minorHAnsi" w:cstheme="minorHAnsi"/>
        </w:rPr>
        <w:t>isition of a</w:t>
      </w:r>
      <w:r w:rsidR="0077510E" w:rsidRPr="00C37A27">
        <w:rPr>
          <w:rFonts w:asciiTheme="minorHAnsi" w:hAnsiTheme="minorHAnsi" w:cstheme="minorHAnsi"/>
        </w:rPr>
        <w:t xml:space="preserve"> </w:t>
      </w:r>
      <w:r w:rsidR="00380475" w:rsidRPr="00C37A27">
        <w:rPr>
          <w:rFonts w:asciiTheme="minorHAnsi" w:hAnsiTheme="minorHAnsi" w:cstheme="minorHAnsi"/>
        </w:rPr>
        <w:t>further 20%</w:t>
      </w:r>
      <w:r w:rsidR="00D7451D" w:rsidRPr="00C37A27">
        <w:rPr>
          <w:rFonts w:asciiTheme="minorHAnsi" w:hAnsiTheme="minorHAnsi" w:cstheme="minorHAnsi"/>
        </w:rPr>
        <w:t xml:space="preserve"> in</w:t>
      </w:r>
      <w:r w:rsidRPr="00C37A27">
        <w:rPr>
          <w:rFonts w:asciiTheme="minorHAnsi" w:hAnsiTheme="minorHAnsi" w:cstheme="minorHAnsi"/>
        </w:rPr>
        <w:t xml:space="preserve"> the Podere Gallina licence. </w:t>
      </w:r>
    </w:p>
    <w:p w14:paraId="44EC08A6" w14:textId="0E791534" w:rsidR="00B05EF3" w:rsidRPr="00C37A27" w:rsidRDefault="00B05EF3" w:rsidP="009A5A69">
      <w:pPr>
        <w:pStyle w:val="BodyText"/>
        <w:spacing w:after="120" w:line="340" w:lineRule="exact"/>
        <w:ind w:left="0"/>
        <w:jc w:val="both"/>
        <w:rPr>
          <w:rFonts w:asciiTheme="minorHAnsi" w:hAnsiTheme="minorHAnsi" w:cstheme="minorHAnsi"/>
        </w:rPr>
      </w:pPr>
      <w:r w:rsidRPr="00530755">
        <w:rPr>
          <w:rFonts w:asciiTheme="minorHAnsi" w:hAnsiTheme="minorHAnsi" w:cstheme="minorHAnsi"/>
        </w:rPr>
        <w:t>At 30 June 20</w:t>
      </w:r>
      <w:r w:rsidR="0077510E" w:rsidRPr="00530755">
        <w:rPr>
          <w:rFonts w:asciiTheme="minorHAnsi" w:hAnsiTheme="minorHAnsi" w:cstheme="minorHAnsi"/>
        </w:rPr>
        <w:t>22</w:t>
      </w:r>
      <w:r w:rsidRPr="00530755">
        <w:rPr>
          <w:rFonts w:asciiTheme="minorHAnsi" w:hAnsiTheme="minorHAnsi" w:cstheme="minorHAnsi"/>
        </w:rPr>
        <w:t>, the Company held cash and cash equivalents of £</w:t>
      </w:r>
      <w:r w:rsidR="00996932" w:rsidRPr="00530755">
        <w:rPr>
          <w:rFonts w:asciiTheme="minorHAnsi" w:hAnsiTheme="minorHAnsi" w:cstheme="minorHAnsi"/>
        </w:rPr>
        <w:t>18</w:t>
      </w:r>
      <w:r w:rsidR="00A37032" w:rsidRPr="00530755">
        <w:rPr>
          <w:rFonts w:asciiTheme="minorHAnsi" w:hAnsiTheme="minorHAnsi" w:cstheme="minorHAnsi"/>
        </w:rPr>
        <w:t>1,628</w:t>
      </w:r>
      <w:r w:rsidRPr="00530755">
        <w:rPr>
          <w:rFonts w:asciiTheme="minorHAnsi" w:hAnsiTheme="minorHAnsi" w:cstheme="minorHAnsi"/>
        </w:rPr>
        <w:t xml:space="preserve"> (30 June 2020: £</w:t>
      </w:r>
      <w:r w:rsidR="006312E8" w:rsidRPr="00530755">
        <w:rPr>
          <w:rFonts w:asciiTheme="minorHAnsi" w:hAnsiTheme="minorHAnsi" w:cstheme="minorHAnsi"/>
        </w:rPr>
        <w:t>458</w:t>
      </w:r>
      <w:r w:rsidR="00996932" w:rsidRPr="00530755">
        <w:rPr>
          <w:rFonts w:asciiTheme="minorHAnsi" w:hAnsiTheme="minorHAnsi" w:cstheme="minorHAnsi"/>
        </w:rPr>
        <w:t>,591</w:t>
      </w:r>
      <w:r w:rsidR="0082656C" w:rsidRPr="00530755">
        <w:rPr>
          <w:rFonts w:asciiTheme="minorHAnsi" w:hAnsiTheme="minorHAnsi" w:cstheme="minorHAnsi"/>
        </w:rPr>
        <w:t>)</w:t>
      </w:r>
      <w:r w:rsidR="00530755">
        <w:rPr>
          <w:rFonts w:asciiTheme="minorHAnsi" w:hAnsiTheme="minorHAnsi" w:cstheme="minorHAnsi"/>
        </w:rPr>
        <w:t>.</w:t>
      </w:r>
    </w:p>
    <w:p w14:paraId="656C71D7" w14:textId="77777777" w:rsidR="00B565B2" w:rsidRPr="00C37A27" w:rsidRDefault="00B565B2" w:rsidP="00B565B2">
      <w:pPr>
        <w:pStyle w:val="BodyText"/>
        <w:spacing w:line="340" w:lineRule="exact"/>
        <w:ind w:left="0"/>
        <w:jc w:val="both"/>
        <w:rPr>
          <w:rFonts w:asciiTheme="minorHAnsi" w:hAnsiTheme="minorHAnsi" w:cstheme="minorHAnsi"/>
        </w:rPr>
      </w:pPr>
    </w:p>
    <w:p w14:paraId="66F0F8C4" w14:textId="1820EDE7" w:rsidR="00B05EF3" w:rsidRPr="00C37A27" w:rsidRDefault="00B05EF3" w:rsidP="00B565B2">
      <w:pPr>
        <w:pStyle w:val="BodyText"/>
        <w:spacing w:line="340" w:lineRule="exact"/>
        <w:ind w:left="0"/>
        <w:jc w:val="both"/>
        <w:rPr>
          <w:rFonts w:asciiTheme="minorHAnsi" w:hAnsiTheme="minorHAnsi" w:cstheme="minorHAnsi"/>
          <w:u w:val="single"/>
        </w:rPr>
      </w:pPr>
      <w:r w:rsidRPr="00C37A27">
        <w:rPr>
          <w:rFonts w:asciiTheme="minorHAnsi" w:hAnsiTheme="minorHAnsi" w:cstheme="minorHAnsi"/>
          <w:b/>
          <w:bCs/>
          <w:u w:val="single"/>
        </w:rPr>
        <w:t>Outlook</w:t>
      </w:r>
      <w:r w:rsidRPr="00C37A27">
        <w:rPr>
          <w:rFonts w:asciiTheme="minorHAnsi" w:hAnsiTheme="minorHAnsi" w:cstheme="minorHAnsi"/>
          <w:u w:val="single"/>
        </w:rPr>
        <w:t xml:space="preserve"> </w:t>
      </w:r>
    </w:p>
    <w:p w14:paraId="03DBC7F1" w14:textId="3254AE3E" w:rsidR="001571E5" w:rsidRPr="00C37A27"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The outlook for our Company is very bright.  With significant levels of cash to be generated from Selva and El Romeral and existing organic opportunities in Spain and Italy, the Company can confidently execute on new investment opportunities.</w:t>
      </w:r>
    </w:p>
    <w:p w14:paraId="21920FBE" w14:textId="64E153A8" w:rsidR="001571E5" w:rsidRPr="00C37A27"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As long-term shareholders are aware, the assets </w:t>
      </w:r>
      <w:r w:rsidR="005F2037" w:rsidRPr="00C37A27">
        <w:rPr>
          <w:rFonts w:asciiTheme="minorHAnsi" w:hAnsiTheme="minorHAnsi" w:cstheme="minorHAnsi"/>
        </w:rPr>
        <w:t xml:space="preserve">are </w:t>
      </w:r>
      <w:r w:rsidRPr="00C37A27">
        <w:rPr>
          <w:rFonts w:asciiTheme="minorHAnsi" w:hAnsiTheme="minorHAnsi" w:cstheme="minorHAnsi"/>
        </w:rPr>
        <w:t xml:space="preserve">now, or soon </w:t>
      </w:r>
      <w:r w:rsidR="00E12BD1">
        <w:rPr>
          <w:rFonts w:asciiTheme="minorHAnsi" w:hAnsiTheme="minorHAnsi" w:cstheme="minorHAnsi"/>
        </w:rPr>
        <w:t>will</w:t>
      </w:r>
      <w:r w:rsidRPr="00C37A27">
        <w:rPr>
          <w:rFonts w:asciiTheme="minorHAnsi" w:hAnsiTheme="minorHAnsi" w:cstheme="minorHAnsi"/>
        </w:rPr>
        <w:t xml:space="preserve"> be, generating substantial revenues </w:t>
      </w:r>
      <w:r w:rsidR="00A35FFB" w:rsidRPr="00C37A27">
        <w:rPr>
          <w:rFonts w:asciiTheme="minorHAnsi" w:hAnsiTheme="minorHAnsi" w:cstheme="minorHAnsi"/>
        </w:rPr>
        <w:t xml:space="preserve">that </w:t>
      </w:r>
      <w:r w:rsidRPr="00C37A27">
        <w:rPr>
          <w:rFonts w:asciiTheme="minorHAnsi" w:hAnsiTheme="minorHAnsi" w:cstheme="minorHAnsi"/>
        </w:rPr>
        <w:t xml:space="preserve">have taken years to develop and have been subject to delays due to regulatory constraints and other issues.  As an Investment Company, Prospex relies on its operating partners – currently Tarba in Spain and Po Valley Energy in Italy.  Both these companies, and in Tarba’s case our co-owner Warrego, are excellent partners, well-staffed, diligent, experienced, and currently well-funded.  The internal team at Prospex is </w:t>
      </w:r>
      <w:r w:rsidRPr="00C37A27">
        <w:rPr>
          <w:rFonts w:asciiTheme="minorHAnsi" w:hAnsiTheme="minorHAnsi" w:cstheme="minorHAnsi"/>
        </w:rPr>
        <w:lastRenderedPageBreak/>
        <w:t>small but very capable of identifying good opportunities with good partners and contributing to project development.</w:t>
      </w:r>
    </w:p>
    <w:p w14:paraId="7B729F6C" w14:textId="1BBDFA9B" w:rsidR="001571E5" w:rsidRPr="00C37A27"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Your Company has examined many new opportunities with new partners and is working with our partners to develop new projects on our existing assets.  We are making investment in solar </w:t>
      </w:r>
      <w:r w:rsidR="00A35FFB" w:rsidRPr="00C37A27">
        <w:rPr>
          <w:rFonts w:asciiTheme="minorHAnsi" w:hAnsiTheme="minorHAnsi" w:cstheme="minorHAnsi"/>
        </w:rPr>
        <w:t xml:space="preserve">power </w:t>
      </w:r>
      <w:r w:rsidRPr="00C37A27">
        <w:rPr>
          <w:rFonts w:asciiTheme="minorHAnsi" w:hAnsiTheme="minorHAnsi" w:cstheme="minorHAnsi"/>
        </w:rPr>
        <w:t xml:space="preserve">generation in Spain and learning from that experience may provide additional opportunities in alternative energy.  The Prospex board and team have excellent industry connections in multiple jurisdictions which may lead to corporate investment opportunities as well as ‘ground level’ ones.  New opportunities take some period of time to develop as it is our belief that investment in the ‘right’ project is a better route to follow, than investment in whatever comes our way. </w:t>
      </w:r>
    </w:p>
    <w:p w14:paraId="775AE34C" w14:textId="202A88D0" w:rsidR="001571E5" w:rsidRPr="00C37A27"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Executing new investments is subject to external conditions including the ongoing recovery from the COVID pandemic; general economic conditions such as recession and inflation; international and local political issues including regulation and taxation; volatile commodity pricing; and climate change mitigation initiatives including restricting access to capital.  These are outside the control of the Company but must be assessed and mitigated prior to an investment decision.  The current commodity pricing limit</w:t>
      </w:r>
      <w:r w:rsidR="00A35FFB" w:rsidRPr="00C37A27">
        <w:rPr>
          <w:rFonts w:asciiTheme="minorHAnsi" w:hAnsiTheme="minorHAnsi" w:cstheme="minorHAnsi"/>
        </w:rPr>
        <w:t>s</w:t>
      </w:r>
      <w:r w:rsidRPr="00C37A27">
        <w:rPr>
          <w:rFonts w:asciiTheme="minorHAnsi" w:hAnsiTheme="minorHAnsi" w:cstheme="minorHAnsi"/>
        </w:rPr>
        <w:t xml:space="preserve"> the number of external projects which will provide appropriate rates of return in the medium to long term.  </w:t>
      </w:r>
    </w:p>
    <w:p w14:paraId="74CEDE8E" w14:textId="20C128C8" w:rsidR="001571E5" w:rsidRPr="00C37A27"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We are confident that there are many opportunities for the Company to continue to enhance shareholder value.</w:t>
      </w:r>
      <w:r w:rsidR="00A35FFB" w:rsidRPr="00C37A27">
        <w:rPr>
          <w:rFonts w:asciiTheme="minorHAnsi" w:hAnsiTheme="minorHAnsi" w:cstheme="minorHAnsi"/>
        </w:rPr>
        <w:t xml:space="preserve"> </w:t>
      </w:r>
      <w:r w:rsidRPr="00C37A27">
        <w:rPr>
          <w:rFonts w:asciiTheme="minorHAnsi" w:hAnsiTheme="minorHAnsi" w:cstheme="minorHAnsi"/>
        </w:rPr>
        <w:t xml:space="preserve"> I look forward to reporting on progress.</w:t>
      </w:r>
    </w:p>
    <w:p w14:paraId="514F1B41" w14:textId="0E190E5F" w:rsidR="001571E5" w:rsidRDefault="001571E5" w:rsidP="005F2037">
      <w:pPr>
        <w:pStyle w:val="BodyText"/>
        <w:spacing w:after="120" w:line="340" w:lineRule="exact"/>
        <w:ind w:left="0"/>
        <w:jc w:val="both"/>
        <w:rPr>
          <w:rFonts w:asciiTheme="minorHAnsi" w:hAnsiTheme="minorHAnsi" w:cstheme="minorHAnsi"/>
        </w:rPr>
      </w:pPr>
      <w:r w:rsidRPr="00C37A27">
        <w:rPr>
          <w:rFonts w:asciiTheme="minorHAnsi" w:hAnsiTheme="minorHAnsi" w:cstheme="minorHAnsi"/>
        </w:rPr>
        <w:t xml:space="preserve">I would like to take this opportunity to thank our investors whose support has enabled the Company to achieve a level of success and to our current and past directors and staff who have contributed so much to enable us </w:t>
      </w:r>
      <w:r w:rsidR="00A35FFB" w:rsidRPr="00C37A27">
        <w:rPr>
          <w:rFonts w:asciiTheme="minorHAnsi" w:hAnsiTheme="minorHAnsi" w:cstheme="minorHAnsi"/>
        </w:rPr>
        <w:t xml:space="preserve">to </w:t>
      </w:r>
      <w:r w:rsidRPr="00C37A27">
        <w:rPr>
          <w:rFonts w:asciiTheme="minorHAnsi" w:hAnsiTheme="minorHAnsi" w:cstheme="minorHAnsi"/>
        </w:rPr>
        <w:t>get here.</w:t>
      </w:r>
    </w:p>
    <w:p w14:paraId="72490BAE" w14:textId="77777777" w:rsidR="000C75B0" w:rsidRPr="00C37A27" w:rsidRDefault="000C75B0" w:rsidP="005F2037">
      <w:pPr>
        <w:pStyle w:val="BodyText"/>
        <w:spacing w:after="120" w:line="340" w:lineRule="exact"/>
        <w:ind w:left="0"/>
        <w:jc w:val="both"/>
        <w:rPr>
          <w:rFonts w:asciiTheme="minorHAnsi" w:hAnsiTheme="minorHAnsi" w:cstheme="minorHAnsi"/>
        </w:rPr>
      </w:pPr>
    </w:p>
    <w:p w14:paraId="1E9E3D6D" w14:textId="77777777" w:rsidR="00B05EF3" w:rsidRPr="00C37A27" w:rsidRDefault="00B05EF3" w:rsidP="00B565B2">
      <w:pPr>
        <w:pStyle w:val="BodyText"/>
        <w:spacing w:line="340" w:lineRule="exact"/>
        <w:ind w:left="0"/>
        <w:jc w:val="both"/>
        <w:rPr>
          <w:rFonts w:asciiTheme="minorHAnsi" w:hAnsiTheme="minorHAnsi" w:cstheme="minorHAnsi"/>
          <w:b/>
          <w:bCs/>
        </w:rPr>
      </w:pPr>
      <w:r w:rsidRPr="00C37A27">
        <w:rPr>
          <w:rFonts w:asciiTheme="minorHAnsi" w:hAnsiTheme="minorHAnsi" w:cstheme="minorHAnsi"/>
          <w:b/>
          <w:bCs/>
        </w:rPr>
        <w:t>Bill Smith</w:t>
      </w:r>
    </w:p>
    <w:p w14:paraId="37A750F2" w14:textId="6F03E70C" w:rsidR="00B05EF3" w:rsidRPr="00C37A27" w:rsidRDefault="00B05EF3" w:rsidP="00B565B2">
      <w:pPr>
        <w:pStyle w:val="BodyText"/>
        <w:spacing w:line="340" w:lineRule="exact"/>
        <w:ind w:left="0"/>
        <w:jc w:val="both"/>
        <w:rPr>
          <w:rFonts w:asciiTheme="minorHAnsi" w:hAnsiTheme="minorHAnsi" w:cstheme="minorHAnsi"/>
          <w:b/>
          <w:bCs/>
        </w:rPr>
      </w:pPr>
      <w:r w:rsidRPr="00C37A27">
        <w:rPr>
          <w:rFonts w:asciiTheme="minorHAnsi" w:hAnsiTheme="minorHAnsi" w:cstheme="minorHAnsi"/>
          <w:b/>
          <w:bCs/>
        </w:rPr>
        <w:t>Non-Executive Chairman</w:t>
      </w:r>
    </w:p>
    <w:p w14:paraId="03C3B17F" w14:textId="057D0B9D" w:rsidR="00634BAD" w:rsidRPr="005F2037" w:rsidRDefault="00634BAD" w:rsidP="00B565B2">
      <w:pPr>
        <w:pStyle w:val="BodyText"/>
        <w:spacing w:line="340" w:lineRule="exact"/>
        <w:ind w:left="0"/>
        <w:jc w:val="both"/>
        <w:rPr>
          <w:rFonts w:asciiTheme="minorHAnsi" w:hAnsiTheme="minorHAnsi" w:cstheme="minorHAnsi"/>
          <w:b/>
          <w:bCs/>
        </w:rPr>
      </w:pPr>
    </w:p>
    <w:p w14:paraId="4C20AE9C" w14:textId="77777777" w:rsidR="00634BAD" w:rsidRPr="000B671A" w:rsidRDefault="00634BAD" w:rsidP="00B565B2">
      <w:pPr>
        <w:pStyle w:val="BodyText"/>
        <w:spacing w:line="340" w:lineRule="exact"/>
        <w:ind w:left="0"/>
        <w:jc w:val="both"/>
        <w:rPr>
          <w:rFonts w:ascii="Calibri" w:hAnsi="Calibri" w:cs="Calibri"/>
          <w:b/>
          <w:bCs/>
        </w:rPr>
      </w:pPr>
    </w:p>
    <w:p w14:paraId="644000E1" w14:textId="77777777" w:rsidR="00402FE7" w:rsidRPr="00E7133D" w:rsidRDefault="00402FE7" w:rsidP="00B565B2">
      <w:pPr>
        <w:spacing w:line="340" w:lineRule="exact"/>
        <w:rPr>
          <w:rFonts w:ascii="Calibri Light" w:hAnsi="Calibri Light" w:cs="Helvetica-Bold"/>
          <w:b/>
          <w:bCs/>
          <w:sz w:val="22"/>
          <w:szCs w:val="22"/>
          <w:lang w:eastAsia="en-GB"/>
        </w:rPr>
      </w:pPr>
      <w:r w:rsidRPr="00B565B2">
        <w:rPr>
          <w:rFonts w:ascii="Calibri Light" w:hAnsi="Calibri Light" w:cs="Calibri Light"/>
          <w:b/>
          <w:bCs/>
          <w:sz w:val="22"/>
          <w:szCs w:val="22"/>
          <w:lang w:eastAsia="en-GB"/>
        </w:rPr>
        <w:br w:type="page"/>
      </w:r>
    </w:p>
    <w:p w14:paraId="644000E2" w14:textId="7F976E79" w:rsidR="009A41FB" w:rsidRPr="006645AF" w:rsidRDefault="00A12187">
      <w:pPr>
        <w:rPr>
          <w:rFonts w:ascii="Calibri Light" w:hAnsi="Calibri Light" w:cs="Calibri Light"/>
          <w:b/>
          <w:sz w:val="22"/>
          <w:szCs w:val="22"/>
        </w:rPr>
      </w:pPr>
      <w:r w:rsidRPr="006645AF">
        <w:rPr>
          <w:rFonts w:ascii="Calibri Light" w:hAnsi="Calibri Light" w:cs="Calibri Light"/>
          <w:b/>
          <w:sz w:val="22"/>
          <w:szCs w:val="22"/>
        </w:rPr>
        <w:lastRenderedPageBreak/>
        <w:t xml:space="preserve">Prospex </w:t>
      </w:r>
      <w:r w:rsidR="00E205DD" w:rsidRPr="006645AF">
        <w:rPr>
          <w:rFonts w:ascii="Calibri Light" w:hAnsi="Calibri Light" w:cs="Calibri Light"/>
          <w:b/>
          <w:sz w:val="22"/>
          <w:szCs w:val="22"/>
        </w:rPr>
        <w:t>Energy</w:t>
      </w:r>
      <w:r w:rsidRPr="006645AF">
        <w:rPr>
          <w:rFonts w:ascii="Calibri Light" w:hAnsi="Calibri Light" w:cs="Calibri Light"/>
          <w:b/>
          <w:sz w:val="22"/>
          <w:szCs w:val="22"/>
        </w:rPr>
        <w:t xml:space="preserve"> Plc</w:t>
      </w:r>
    </w:p>
    <w:p w14:paraId="644000E3" w14:textId="77777777" w:rsidR="004F357C" w:rsidRPr="006645AF" w:rsidRDefault="004F357C">
      <w:pPr>
        <w:rPr>
          <w:rFonts w:ascii="Calibri Light" w:hAnsi="Calibri Light" w:cs="Calibri Light"/>
          <w:b/>
          <w:sz w:val="22"/>
          <w:szCs w:val="22"/>
        </w:rPr>
      </w:pPr>
      <w:r w:rsidRPr="006645AF">
        <w:rPr>
          <w:rFonts w:ascii="Calibri Light" w:hAnsi="Calibri Light" w:cs="Calibri Light"/>
          <w:b/>
          <w:sz w:val="22"/>
          <w:szCs w:val="22"/>
        </w:rPr>
        <w:t>Interim results</w:t>
      </w:r>
    </w:p>
    <w:p w14:paraId="644000E4" w14:textId="2B38BBF9" w:rsidR="004F357C" w:rsidRPr="006645AF" w:rsidRDefault="004F357C">
      <w:pPr>
        <w:rPr>
          <w:rFonts w:ascii="Calibri Light" w:hAnsi="Calibri Light" w:cs="Calibri Light"/>
          <w:b/>
          <w:sz w:val="22"/>
          <w:szCs w:val="22"/>
        </w:rPr>
      </w:pPr>
      <w:r w:rsidRPr="006645AF">
        <w:rPr>
          <w:rFonts w:ascii="Calibri Light" w:hAnsi="Calibri Light" w:cs="Calibri Light"/>
          <w:b/>
          <w:sz w:val="22"/>
          <w:szCs w:val="22"/>
        </w:rPr>
        <w:t xml:space="preserve">For the six months ended </w:t>
      </w:r>
      <w:r w:rsidR="00486FD1" w:rsidRPr="006645AF">
        <w:rPr>
          <w:rFonts w:ascii="Calibri Light" w:hAnsi="Calibri Light" w:cs="Calibri Light"/>
          <w:b/>
          <w:sz w:val="22"/>
          <w:szCs w:val="22"/>
        </w:rPr>
        <w:t>3</w:t>
      </w:r>
      <w:r w:rsidR="00A12187" w:rsidRPr="006645AF">
        <w:rPr>
          <w:rFonts w:ascii="Calibri Light" w:hAnsi="Calibri Light" w:cs="Calibri Light"/>
          <w:b/>
          <w:sz w:val="22"/>
          <w:szCs w:val="22"/>
        </w:rPr>
        <w:t>0</w:t>
      </w:r>
      <w:r w:rsidR="00486FD1" w:rsidRPr="006645AF">
        <w:rPr>
          <w:rFonts w:ascii="Calibri Light" w:hAnsi="Calibri Light" w:cs="Calibri Light"/>
          <w:b/>
          <w:sz w:val="22"/>
          <w:szCs w:val="22"/>
        </w:rPr>
        <w:t xml:space="preserve"> Ju</w:t>
      </w:r>
      <w:r w:rsidR="00042DD2" w:rsidRPr="006645AF">
        <w:rPr>
          <w:rFonts w:ascii="Calibri Light" w:hAnsi="Calibri Light" w:cs="Calibri Light"/>
          <w:b/>
          <w:sz w:val="22"/>
          <w:szCs w:val="22"/>
        </w:rPr>
        <w:t>ne 20</w:t>
      </w:r>
      <w:r w:rsidR="00EF12DE" w:rsidRPr="006645AF">
        <w:rPr>
          <w:rFonts w:ascii="Calibri Light" w:hAnsi="Calibri Light" w:cs="Calibri Light"/>
          <w:b/>
          <w:sz w:val="22"/>
          <w:szCs w:val="22"/>
        </w:rPr>
        <w:t>2</w:t>
      </w:r>
      <w:r w:rsidR="00674911">
        <w:rPr>
          <w:rFonts w:ascii="Calibri Light" w:hAnsi="Calibri Light" w:cs="Calibri Light"/>
          <w:b/>
          <w:sz w:val="22"/>
          <w:szCs w:val="22"/>
        </w:rPr>
        <w:t>2</w:t>
      </w:r>
    </w:p>
    <w:p w14:paraId="644000E5" w14:textId="77777777" w:rsidR="004F357C" w:rsidRPr="006645AF" w:rsidRDefault="004F357C">
      <w:pPr>
        <w:rPr>
          <w:rFonts w:ascii="Calibri Light" w:hAnsi="Calibri Light" w:cs="Calibri Light"/>
          <w:sz w:val="22"/>
          <w:szCs w:val="22"/>
        </w:rPr>
      </w:pPr>
    </w:p>
    <w:p w14:paraId="644000E6" w14:textId="00E7C51C" w:rsidR="00683425" w:rsidRPr="006645AF" w:rsidRDefault="00EF12DE">
      <w:pPr>
        <w:rPr>
          <w:rFonts w:ascii="Calibri Light" w:hAnsi="Calibri Light" w:cs="Calibri Light"/>
          <w:b/>
          <w:sz w:val="22"/>
          <w:szCs w:val="22"/>
        </w:rPr>
      </w:pPr>
      <w:r w:rsidRPr="006645AF">
        <w:rPr>
          <w:rFonts w:ascii="Calibri Light" w:hAnsi="Calibri Light" w:cs="Calibri Light"/>
          <w:b/>
          <w:sz w:val="22"/>
          <w:szCs w:val="22"/>
        </w:rPr>
        <w:t>S</w:t>
      </w:r>
      <w:r w:rsidR="00683425" w:rsidRPr="006645AF">
        <w:rPr>
          <w:rFonts w:ascii="Calibri Light" w:hAnsi="Calibri Light" w:cs="Calibri Light"/>
          <w:b/>
          <w:sz w:val="22"/>
          <w:szCs w:val="22"/>
        </w:rPr>
        <w:t>tatement</w:t>
      </w:r>
      <w:r w:rsidR="00006F8B" w:rsidRPr="006645AF">
        <w:rPr>
          <w:rFonts w:ascii="Calibri Light" w:hAnsi="Calibri Light" w:cs="Calibri Light"/>
          <w:b/>
          <w:sz w:val="22"/>
          <w:szCs w:val="22"/>
        </w:rPr>
        <w:t xml:space="preserve"> of </w:t>
      </w:r>
      <w:r w:rsidR="00B65EF3" w:rsidRPr="006645AF">
        <w:rPr>
          <w:rFonts w:ascii="Calibri Light" w:hAnsi="Calibri Light" w:cs="Calibri Light"/>
          <w:b/>
          <w:sz w:val="22"/>
          <w:szCs w:val="22"/>
        </w:rPr>
        <w:t xml:space="preserve">profit or loss and other </w:t>
      </w:r>
      <w:r w:rsidR="00006F8B" w:rsidRPr="006645AF">
        <w:rPr>
          <w:rFonts w:ascii="Calibri Light" w:hAnsi="Calibri Light" w:cs="Calibri Light"/>
          <w:b/>
          <w:sz w:val="22"/>
          <w:szCs w:val="22"/>
        </w:rPr>
        <w:t>comprehensive income</w:t>
      </w:r>
    </w:p>
    <w:p w14:paraId="293D4C8C" w14:textId="77777777" w:rsidR="00A30E4A" w:rsidRPr="006645AF" w:rsidRDefault="00A30E4A">
      <w:pPr>
        <w:rPr>
          <w:rFonts w:ascii="Calibri Light" w:hAnsi="Calibri Light" w:cs="Arial"/>
          <w:b/>
          <w:sz w:val="22"/>
          <w:szCs w:val="22"/>
        </w:rPr>
      </w:pPr>
    </w:p>
    <w:tbl>
      <w:tblPr>
        <w:tblW w:w="5000" w:type="pct"/>
        <w:tblLook w:val="04A0" w:firstRow="1" w:lastRow="0" w:firstColumn="1" w:lastColumn="0" w:noHBand="0" w:noVBand="1"/>
      </w:tblPr>
      <w:tblGrid>
        <w:gridCol w:w="2835"/>
        <w:gridCol w:w="797"/>
        <w:gridCol w:w="2398"/>
        <w:gridCol w:w="222"/>
        <w:gridCol w:w="1328"/>
        <w:gridCol w:w="222"/>
        <w:gridCol w:w="1602"/>
      </w:tblGrid>
      <w:tr w:rsidR="00012240" w14:paraId="4C833AFB" w14:textId="77777777" w:rsidTr="0002742D">
        <w:trPr>
          <w:trHeight w:val="705"/>
        </w:trPr>
        <w:tc>
          <w:tcPr>
            <w:tcW w:w="1507" w:type="pct"/>
            <w:tcBorders>
              <w:top w:val="nil"/>
              <w:left w:val="nil"/>
              <w:bottom w:val="nil"/>
              <w:right w:val="nil"/>
            </w:tcBorders>
            <w:shd w:val="clear" w:color="auto" w:fill="auto"/>
            <w:noWrap/>
            <w:vAlign w:val="bottom"/>
            <w:hideMark/>
          </w:tcPr>
          <w:p w14:paraId="15EB46AA" w14:textId="77777777" w:rsidR="00DC38CF" w:rsidRDefault="00DC38CF">
            <w:pPr>
              <w:rPr>
                <w:sz w:val="20"/>
                <w:szCs w:val="20"/>
                <w:lang w:eastAsia="en-GB"/>
              </w:rPr>
            </w:pPr>
          </w:p>
        </w:tc>
        <w:tc>
          <w:tcPr>
            <w:tcW w:w="424" w:type="pct"/>
            <w:tcBorders>
              <w:top w:val="nil"/>
              <w:left w:val="nil"/>
              <w:bottom w:val="nil"/>
              <w:right w:val="nil"/>
            </w:tcBorders>
            <w:shd w:val="clear" w:color="auto" w:fill="auto"/>
            <w:noWrap/>
            <w:vAlign w:val="bottom"/>
            <w:hideMark/>
          </w:tcPr>
          <w:p w14:paraId="7E02B3BB" w14:textId="121134F3" w:rsidR="00DC38CF" w:rsidRPr="00262A0E" w:rsidRDefault="00A752F6">
            <w:pPr>
              <w:rPr>
                <w:rFonts w:ascii="Calibri Light" w:hAnsi="Calibri Light" w:cs="Calibri Light"/>
                <w:b/>
                <w:bCs/>
                <w:sz w:val="20"/>
                <w:szCs w:val="20"/>
              </w:rPr>
            </w:pPr>
            <w:r w:rsidRPr="00262A0E">
              <w:rPr>
                <w:rFonts w:ascii="Calibri Light" w:hAnsi="Calibri Light" w:cs="Calibri Light"/>
                <w:b/>
                <w:bCs/>
                <w:sz w:val="20"/>
                <w:szCs w:val="20"/>
              </w:rPr>
              <w:t>Note</w:t>
            </w:r>
          </w:p>
        </w:tc>
        <w:tc>
          <w:tcPr>
            <w:tcW w:w="1275" w:type="pct"/>
            <w:tcBorders>
              <w:top w:val="nil"/>
              <w:left w:val="nil"/>
              <w:bottom w:val="nil"/>
              <w:right w:val="nil"/>
            </w:tcBorders>
            <w:shd w:val="clear" w:color="auto" w:fill="auto"/>
            <w:vAlign w:val="bottom"/>
            <w:hideMark/>
          </w:tcPr>
          <w:p w14:paraId="48B6142E"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18" w:type="pct"/>
            <w:tcBorders>
              <w:top w:val="nil"/>
              <w:left w:val="nil"/>
              <w:bottom w:val="nil"/>
              <w:right w:val="nil"/>
            </w:tcBorders>
            <w:shd w:val="clear" w:color="auto" w:fill="auto"/>
            <w:noWrap/>
            <w:vAlign w:val="bottom"/>
            <w:hideMark/>
          </w:tcPr>
          <w:p w14:paraId="0C30FD4F" w14:textId="77777777" w:rsidR="00DC38CF" w:rsidRDefault="00DC38CF">
            <w:pPr>
              <w:jc w:val="right"/>
              <w:rPr>
                <w:rFonts w:ascii="Calibri Light" w:hAnsi="Calibri Light" w:cs="Arial"/>
                <w:b/>
                <w:bCs/>
                <w:sz w:val="22"/>
                <w:szCs w:val="22"/>
              </w:rPr>
            </w:pPr>
          </w:p>
        </w:tc>
        <w:tc>
          <w:tcPr>
            <w:tcW w:w="706" w:type="pct"/>
            <w:tcBorders>
              <w:top w:val="nil"/>
              <w:left w:val="nil"/>
              <w:bottom w:val="nil"/>
              <w:right w:val="nil"/>
            </w:tcBorders>
            <w:shd w:val="clear" w:color="auto" w:fill="auto"/>
            <w:vAlign w:val="bottom"/>
            <w:hideMark/>
          </w:tcPr>
          <w:p w14:paraId="4E7275F2"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18" w:type="pct"/>
            <w:tcBorders>
              <w:top w:val="nil"/>
              <w:left w:val="nil"/>
              <w:bottom w:val="nil"/>
              <w:right w:val="nil"/>
            </w:tcBorders>
            <w:shd w:val="clear" w:color="auto" w:fill="auto"/>
            <w:noWrap/>
            <w:vAlign w:val="bottom"/>
            <w:hideMark/>
          </w:tcPr>
          <w:p w14:paraId="1823B23D" w14:textId="77777777" w:rsidR="00DC38CF" w:rsidRDefault="00DC38CF">
            <w:pPr>
              <w:jc w:val="right"/>
              <w:rPr>
                <w:rFonts w:ascii="Calibri Light" w:hAnsi="Calibri Light" w:cs="Arial"/>
                <w:b/>
                <w:bCs/>
                <w:sz w:val="22"/>
                <w:szCs w:val="22"/>
              </w:rPr>
            </w:pPr>
          </w:p>
        </w:tc>
        <w:tc>
          <w:tcPr>
            <w:tcW w:w="852" w:type="pct"/>
            <w:tcBorders>
              <w:top w:val="nil"/>
              <w:left w:val="nil"/>
              <w:bottom w:val="nil"/>
              <w:right w:val="nil"/>
            </w:tcBorders>
            <w:shd w:val="clear" w:color="auto" w:fill="auto"/>
            <w:vAlign w:val="bottom"/>
            <w:hideMark/>
          </w:tcPr>
          <w:p w14:paraId="2C798229"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Year ended</w:t>
            </w:r>
          </w:p>
        </w:tc>
      </w:tr>
      <w:tr w:rsidR="004D1F74" w14:paraId="1CAF00BF" w14:textId="77777777" w:rsidTr="0002742D">
        <w:trPr>
          <w:trHeight w:val="300"/>
        </w:trPr>
        <w:tc>
          <w:tcPr>
            <w:tcW w:w="1507" w:type="pct"/>
            <w:tcBorders>
              <w:top w:val="nil"/>
              <w:left w:val="nil"/>
              <w:bottom w:val="nil"/>
              <w:right w:val="nil"/>
            </w:tcBorders>
            <w:shd w:val="clear" w:color="auto" w:fill="auto"/>
            <w:noWrap/>
            <w:vAlign w:val="bottom"/>
            <w:hideMark/>
          </w:tcPr>
          <w:p w14:paraId="617A9216" w14:textId="77777777" w:rsidR="00DC38CF" w:rsidRDefault="00DC38CF">
            <w:pPr>
              <w:jc w:val="right"/>
              <w:rPr>
                <w:rFonts w:ascii="Calibri Light" w:hAnsi="Calibri Light" w:cs="Arial"/>
                <w:b/>
                <w:bCs/>
                <w:sz w:val="22"/>
                <w:szCs w:val="22"/>
              </w:rPr>
            </w:pPr>
          </w:p>
        </w:tc>
        <w:tc>
          <w:tcPr>
            <w:tcW w:w="424" w:type="pct"/>
            <w:tcBorders>
              <w:top w:val="nil"/>
              <w:left w:val="nil"/>
              <w:bottom w:val="nil"/>
              <w:right w:val="nil"/>
            </w:tcBorders>
            <w:shd w:val="clear" w:color="auto" w:fill="auto"/>
            <w:noWrap/>
            <w:vAlign w:val="bottom"/>
            <w:hideMark/>
          </w:tcPr>
          <w:p w14:paraId="36434D34" w14:textId="77777777" w:rsidR="00DC38CF" w:rsidRDefault="00DC38CF">
            <w:pPr>
              <w:rPr>
                <w:sz w:val="20"/>
                <w:szCs w:val="20"/>
              </w:rPr>
            </w:pPr>
          </w:p>
        </w:tc>
        <w:tc>
          <w:tcPr>
            <w:tcW w:w="1275" w:type="pct"/>
            <w:tcBorders>
              <w:top w:val="nil"/>
              <w:left w:val="nil"/>
              <w:bottom w:val="single" w:sz="4" w:space="0" w:color="auto"/>
              <w:right w:val="nil"/>
            </w:tcBorders>
            <w:shd w:val="clear" w:color="auto" w:fill="auto"/>
            <w:noWrap/>
            <w:vAlign w:val="bottom"/>
            <w:hideMark/>
          </w:tcPr>
          <w:p w14:paraId="4EF59D5B"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30 June</w:t>
            </w:r>
          </w:p>
        </w:tc>
        <w:tc>
          <w:tcPr>
            <w:tcW w:w="118" w:type="pct"/>
            <w:tcBorders>
              <w:top w:val="nil"/>
              <w:left w:val="nil"/>
              <w:bottom w:val="nil"/>
              <w:right w:val="nil"/>
            </w:tcBorders>
            <w:shd w:val="clear" w:color="auto" w:fill="auto"/>
            <w:noWrap/>
            <w:vAlign w:val="bottom"/>
            <w:hideMark/>
          </w:tcPr>
          <w:p w14:paraId="3FA28141" w14:textId="77777777" w:rsidR="00DC38CF" w:rsidRDefault="00DC38CF">
            <w:pPr>
              <w:jc w:val="right"/>
              <w:rPr>
                <w:rFonts w:ascii="Calibri Light" w:hAnsi="Calibri Light" w:cs="Arial"/>
                <w:b/>
                <w:bCs/>
                <w:sz w:val="22"/>
                <w:szCs w:val="22"/>
              </w:rPr>
            </w:pPr>
          </w:p>
        </w:tc>
        <w:tc>
          <w:tcPr>
            <w:tcW w:w="706" w:type="pct"/>
            <w:tcBorders>
              <w:top w:val="nil"/>
              <w:left w:val="nil"/>
              <w:bottom w:val="single" w:sz="4" w:space="0" w:color="auto"/>
              <w:right w:val="nil"/>
            </w:tcBorders>
            <w:shd w:val="clear" w:color="auto" w:fill="auto"/>
            <w:noWrap/>
            <w:vAlign w:val="bottom"/>
            <w:hideMark/>
          </w:tcPr>
          <w:p w14:paraId="5845623E"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30 June</w:t>
            </w:r>
          </w:p>
        </w:tc>
        <w:tc>
          <w:tcPr>
            <w:tcW w:w="118" w:type="pct"/>
            <w:tcBorders>
              <w:top w:val="nil"/>
              <w:left w:val="nil"/>
              <w:bottom w:val="nil"/>
              <w:right w:val="nil"/>
            </w:tcBorders>
            <w:shd w:val="clear" w:color="auto" w:fill="auto"/>
            <w:noWrap/>
            <w:vAlign w:val="bottom"/>
            <w:hideMark/>
          </w:tcPr>
          <w:p w14:paraId="78D6D73C" w14:textId="77777777" w:rsidR="00DC38CF" w:rsidRDefault="00DC38CF">
            <w:pPr>
              <w:jc w:val="right"/>
              <w:rPr>
                <w:rFonts w:ascii="Calibri Light" w:hAnsi="Calibri Light" w:cs="Arial"/>
                <w:b/>
                <w:bCs/>
                <w:sz w:val="22"/>
                <w:szCs w:val="22"/>
              </w:rPr>
            </w:pPr>
          </w:p>
        </w:tc>
        <w:tc>
          <w:tcPr>
            <w:tcW w:w="852" w:type="pct"/>
            <w:tcBorders>
              <w:top w:val="nil"/>
              <w:left w:val="nil"/>
              <w:bottom w:val="single" w:sz="4" w:space="0" w:color="auto"/>
              <w:right w:val="nil"/>
            </w:tcBorders>
            <w:shd w:val="clear" w:color="auto" w:fill="auto"/>
            <w:noWrap/>
            <w:vAlign w:val="bottom"/>
            <w:hideMark/>
          </w:tcPr>
          <w:p w14:paraId="650C1C85" w14:textId="77777777" w:rsidR="00DC38CF" w:rsidRDefault="00DC38CF">
            <w:pPr>
              <w:jc w:val="right"/>
              <w:rPr>
                <w:rFonts w:ascii="Calibri Light" w:hAnsi="Calibri Light" w:cs="Arial"/>
                <w:b/>
                <w:bCs/>
                <w:sz w:val="22"/>
                <w:szCs w:val="22"/>
              </w:rPr>
            </w:pPr>
            <w:r>
              <w:rPr>
                <w:rFonts w:ascii="Calibri Light" w:hAnsi="Calibri Light" w:cs="Arial"/>
                <w:b/>
                <w:bCs/>
                <w:sz w:val="22"/>
                <w:szCs w:val="22"/>
              </w:rPr>
              <w:t>31 December</w:t>
            </w:r>
          </w:p>
        </w:tc>
      </w:tr>
      <w:tr w:rsidR="004D1F74" w14:paraId="43139712" w14:textId="77777777" w:rsidTr="0002742D">
        <w:trPr>
          <w:trHeight w:val="300"/>
        </w:trPr>
        <w:tc>
          <w:tcPr>
            <w:tcW w:w="1507" w:type="pct"/>
            <w:tcBorders>
              <w:top w:val="nil"/>
              <w:left w:val="nil"/>
              <w:bottom w:val="nil"/>
              <w:right w:val="nil"/>
            </w:tcBorders>
            <w:shd w:val="clear" w:color="auto" w:fill="auto"/>
            <w:noWrap/>
            <w:vAlign w:val="bottom"/>
            <w:hideMark/>
          </w:tcPr>
          <w:p w14:paraId="00BC5E7B" w14:textId="77777777" w:rsidR="00DC38CF" w:rsidRDefault="00DC38CF">
            <w:pPr>
              <w:jc w:val="right"/>
              <w:rPr>
                <w:rFonts w:ascii="Calibri Light" w:hAnsi="Calibri Light" w:cs="Arial"/>
                <w:b/>
                <w:bCs/>
                <w:sz w:val="22"/>
                <w:szCs w:val="22"/>
              </w:rPr>
            </w:pPr>
          </w:p>
        </w:tc>
        <w:tc>
          <w:tcPr>
            <w:tcW w:w="424" w:type="pct"/>
            <w:tcBorders>
              <w:top w:val="nil"/>
              <w:left w:val="nil"/>
              <w:bottom w:val="nil"/>
              <w:right w:val="nil"/>
            </w:tcBorders>
            <w:shd w:val="clear" w:color="auto" w:fill="auto"/>
            <w:noWrap/>
            <w:vAlign w:val="bottom"/>
            <w:hideMark/>
          </w:tcPr>
          <w:p w14:paraId="558145E9"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5B63E272" w14:textId="77777777" w:rsidR="00DC38CF" w:rsidRDefault="00DC38CF">
            <w:pPr>
              <w:jc w:val="right"/>
              <w:rPr>
                <w:rFonts w:ascii="Calibri Light" w:hAnsi="Calibri Light" w:cs="Arial"/>
                <w:sz w:val="22"/>
                <w:szCs w:val="22"/>
              </w:rPr>
            </w:pPr>
            <w:r>
              <w:rPr>
                <w:rFonts w:ascii="Calibri Light" w:hAnsi="Calibri Light" w:cs="Arial"/>
                <w:sz w:val="22"/>
                <w:szCs w:val="22"/>
              </w:rPr>
              <w:t>2022</w:t>
            </w:r>
          </w:p>
        </w:tc>
        <w:tc>
          <w:tcPr>
            <w:tcW w:w="118" w:type="pct"/>
            <w:tcBorders>
              <w:top w:val="nil"/>
              <w:left w:val="nil"/>
              <w:bottom w:val="nil"/>
              <w:right w:val="nil"/>
            </w:tcBorders>
            <w:shd w:val="clear" w:color="auto" w:fill="auto"/>
            <w:noWrap/>
            <w:vAlign w:val="bottom"/>
            <w:hideMark/>
          </w:tcPr>
          <w:p w14:paraId="21F31CD0" w14:textId="77777777" w:rsidR="00DC38CF" w:rsidRDefault="00DC38CF">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06A51289" w14:textId="77777777" w:rsidR="00DC38CF" w:rsidRDefault="00DC38CF">
            <w:pPr>
              <w:jc w:val="right"/>
              <w:rPr>
                <w:rFonts w:ascii="Calibri Light" w:hAnsi="Calibri Light" w:cs="Arial"/>
                <w:sz w:val="22"/>
                <w:szCs w:val="22"/>
              </w:rPr>
            </w:pPr>
            <w:r>
              <w:rPr>
                <w:rFonts w:ascii="Calibri Light" w:hAnsi="Calibri Light" w:cs="Arial"/>
                <w:sz w:val="22"/>
                <w:szCs w:val="22"/>
              </w:rPr>
              <w:t>2021</w:t>
            </w:r>
          </w:p>
        </w:tc>
        <w:tc>
          <w:tcPr>
            <w:tcW w:w="118" w:type="pct"/>
            <w:tcBorders>
              <w:top w:val="nil"/>
              <w:left w:val="nil"/>
              <w:bottom w:val="nil"/>
              <w:right w:val="nil"/>
            </w:tcBorders>
            <w:shd w:val="clear" w:color="auto" w:fill="auto"/>
            <w:noWrap/>
            <w:vAlign w:val="bottom"/>
            <w:hideMark/>
          </w:tcPr>
          <w:p w14:paraId="05C4C360" w14:textId="77777777" w:rsidR="00DC38CF" w:rsidRDefault="00DC38CF">
            <w:pPr>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6887F6CA" w14:textId="77777777" w:rsidR="00DC38CF" w:rsidRDefault="00DC38CF">
            <w:pPr>
              <w:jc w:val="right"/>
              <w:rPr>
                <w:rFonts w:ascii="Calibri Light" w:hAnsi="Calibri Light" w:cs="Arial"/>
                <w:sz w:val="22"/>
                <w:szCs w:val="22"/>
              </w:rPr>
            </w:pPr>
            <w:r>
              <w:rPr>
                <w:rFonts w:ascii="Calibri Light" w:hAnsi="Calibri Light" w:cs="Arial"/>
                <w:sz w:val="22"/>
                <w:szCs w:val="22"/>
              </w:rPr>
              <w:t>2021</w:t>
            </w:r>
          </w:p>
        </w:tc>
      </w:tr>
      <w:tr w:rsidR="004D1F74" w14:paraId="53FD0D43" w14:textId="77777777" w:rsidTr="0002742D">
        <w:trPr>
          <w:trHeight w:val="300"/>
        </w:trPr>
        <w:tc>
          <w:tcPr>
            <w:tcW w:w="1507" w:type="pct"/>
            <w:tcBorders>
              <w:top w:val="nil"/>
              <w:left w:val="nil"/>
              <w:bottom w:val="nil"/>
              <w:right w:val="nil"/>
            </w:tcBorders>
            <w:shd w:val="clear" w:color="auto" w:fill="auto"/>
            <w:noWrap/>
            <w:vAlign w:val="bottom"/>
            <w:hideMark/>
          </w:tcPr>
          <w:p w14:paraId="619778C2"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0B00A7E9"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33364BAB" w14:textId="77777777" w:rsidR="00DC38CF" w:rsidRDefault="00DC38CF">
            <w:pPr>
              <w:jc w:val="right"/>
              <w:rPr>
                <w:rFonts w:ascii="Calibri Light" w:hAnsi="Calibri Light" w:cs="Arial"/>
                <w:i/>
                <w:iCs/>
                <w:sz w:val="22"/>
                <w:szCs w:val="22"/>
              </w:rPr>
            </w:pPr>
            <w:r>
              <w:rPr>
                <w:rFonts w:ascii="Calibri Light" w:hAnsi="Calibri Light" w:cs="Arial"/>
                <w:i/>
                <w:iCs/>
                <w:sz w:val="22"/>
                <w:szCs w:val="22"/>
              </w:rPr>
              <w:t>(unaudited)</w:t>
            </w:r>
          </w:p>
        </w:tc>
        <w:tc>
          <w:tcPr>
            <w:tcW w:w="118" w:type="pct"/>
            <w:tcBorders>
              <w:top w:val="nil"/>
              <w:left w:val="nil"/>
              <w:bottom w:val="nil"/>
              <w:right w:val="nil"/>
            </w:tcBorders>
            <w:shd w:val="clear" w:color="auto" w:fill="auto"/>
            <w:noWrap/>
            <w:vAlign w:val="bottom"/>
            <w:hideMark/>
          </w:tcPr>
          <w:p w14:paraId="4501B789" w14:textId="77777777" w:rsidR="00DC38CF" w:rsidRDefault="00DC38CF">
            <w:pPr>
              <w:jc w:val="right"/>
              <w:rPr>
                <w:rFonts w:ascii="Calibri Light" w:hAnsi="Calibri Light" w:cs="Arial"/>
                <w:i/>
                <w:iCs/>
                <w:sz w:val="22"/>
                <w:szCs w:val="22"/>
              </w:rPr>
            </w:pPr>
          </w:p>
        </w:tc>
        <w:tc>
          <w:tcPr>
            <w:tcW w:w="706" w:type="pct"/>
            <w:tcBorders>
              <w:top w:val="nil"/>
              <w:left w:val="nil"/>
              <w:bottom w:val="nil"/>
              <w:right w:val="nil"/>
            </w:tcBorders>
            <w:shd w:val="clear" w:color="auto" w:fill="auto"/>
            <w:noWrap/>
            <w:vAlign w:val="bottom"/>
            <w:hideMark/>
          </w:tcPr>
          <w:p w14:paraId="6DEAE97E" w14:textId="77777777" w:rsidR="00DC38CF" w:rsidRDefault="00DC38CF">
            <w:pPr>
              <w:jc w:val="right"/>
              <w:rPr>
                <w:rFonts w:ascii="Calibri Light" w:hAnsi="Calibri Light" w:cs="Arial"/>
                <w:i/>
                <w:iCs/>
                <w:sz w:val="22"/>
                <w:szCs w:val="22"/>
              </w:rPr>
            </w:pPr>
            <w:r>
              <w:rPr>
                <w:rFonts w:ascii="Calibri Light" w:hAnsi="Calibri Light" w:cs="Arial"/>
                <w:i/>
                <w:iCs/>
                <w:sz w:val="22"/>
                <w:szCs w:val="22"/>
              </w:rPr>
              <w:t>(unaudited)</w:t>
            </w:r>
          </w:p>
        </w:tc>
        <w:tc>
          <w:tcPr>
            <w:tcW w:w="118" w:type="pct"/>
            <w:tcBorders>
              <w:top w:val="nil"/>
              <w:left w:val="nil"/>
              <w:bottom w:val="nil"/>
              <w:right w:val="nil"/>
            </w:tcBorders>
            <w:shd w:val="clear" w:color="auto" w:fill="auto"/>
            <w:noWrap/>
            <w:vAlign w:val="bottom"/>
            <w:hideMark/>
          </w:tcPr>
          <w:p w14:paraId="680C8819" w14:textId="77777777" w:rsidR="00DC38CF" w:rsidRDefault="00DC38CF">
            <w:pPr>
              <w:jc w:val="right"/>
              <w:rPr>
                <w:rFonts w:ascii="Calibri Light" w:hAnsi="Calibri Light" w:cs="Arial"/>
                <w:i/>
                <w:iCs/>
                <w:sz w:val="22"/>
                <w:szCs w:val="22"/>
              </w:rPr>
            </w:pPr>
          </w:p>
        </w:tc>
        <w:tc>
          <w:tcPr>
            <w:tcW w:w="852" w:type="pct"/>
            <w:tcBorders>
              <w:top w:val="nil"/>
              <w:left w:val="nil"/>
              <w:bottom w:val="nil"/>
              <w:right w:val="nil"/>
            </w:tcBorders>
            <w:shd w:val="clear" w:color="auto" w:fill="auto"/>
            <w:noWrap/>
            <w:vAlign w:val="bottom"/>
            <w:hideMark/>
          </w:tcPr>
          <w:p w14:paraId="43CE14B4" w14:textId="77777777" w:rsidR="00DC38CF" w:rsidRDefault="00DC38CF">
            <w:pPr>
              <w:jc w:val="right"/>
              <w:rPr>
                <w:rFonts w:ascii="Calibri Light" w:hAnsi="Calibri Light" w:cs="Arial"/>
                <w:i/>
                <w:iCs/>
                <w:sz w:val="22"/>
                <w:szCs w:val="22"/>
              </w:rPr>
            </w:pPr>
            <w:r>
              <w:rPr>
                <w:rFonts w:ascii="Calibri Light" w:hAnsi="Calibri Light" w:cs="Arial"/>
                <w:i/>
                <w:iCs/>
                <w:sz w:val="22"/>
                <w:szCs w:val="22"/>
              </w:rPr>
              <w:t>(audited)</w:t>
            </w:r>
          </w:p>
        </w:tc>
      </w:tr>
      <w:tr w:rsidR="004D1F74" w14:paraId="5C0FC56B" w14:textId="77777777" w:rsidTr="0002742D">
        <w:trPr>
          <w:trHeight w:val="300"/>
        </w:trPr>
        <w:tc>
          <w:tcPr>
            <w:tcW w:w="1507" w:type="pct"/>
            <w:tcBorders>
              <w:top w:val="nil"/>
              <w:left w:val="nil"/>
              <w:bottom w:val="nil"/>
              <w:right w:val="nil"/>
            </w:tcBorders>
            <w:shd w:val="clear" w:color="auto" w:fill="auto"/>
            <w:noWrap/>
            <w:vAlign w:val="bottom"/>
            <w:hideMark/>
          </w:tcPr>
          <w:p w14:paraId="2DF2B54F" w14:textId="77777777" w:rsidR="00DC38CF" w:rsidRDefault="00DC38CF">
            <w:pPr>
              <w:jc w:val="right"/>
              <w:rPr>
                <w:rFonts w:ascii="Calibri Light" w:hAnsi="Calibri Light" w:cs="Arial"/>
                <w:i/>
                <w:iCs/>
                <w:sz w:val="22"/>
                <w:szCs w:val="22"/>
              </w:rPr>
            </w:pPr>
          </w:p>
        </w:tc>
        <w:tc>
          <w:tcPr>
            <w:tcW w:w="424" w:type="pct"/>
            <w:tcBorders>
              <w:top w:val="nil"/>
              <w:left w:val="nil"/>
              <w:bottom w:val="nil"/>
              <w:right w:val="nil"/>
            </w:tcBorders>
            <w:shd w:val="clear" w:color="auto" w:fill="auto"/>
            <w:noWrap/>
            <w:vAlign w:val="bottom"/>
            <w:hideMark/>
          </w:tcPr>
          <w:p w14:paraId="532255BD"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67401CC8" w14:textId="77777777" w:rsidR="00DC38CF" w:rsidRDefault="00DC38CF">
            <w:pPr>
              <w:jc w:val="center"/>
              <w:rPr>
                <w:rFonts w:ascii="Calibri Light" w:hAnsi="Calibri Light" w:cs="Arial"/>
                <w:sz w:val="22"/>
                <w:szCs w:val="22"/>
              </w:rPr>
            </w:pPr>
            <w:r>
              <w:rPr>
                <w:rFonts w:ascii="Calibri Light" w:hAnsi="Calibri Light" w:cs="Arial"/>
                <w:sz w:val="22"/>
                <w:szCs w:val="22"/>
              </w:rPr>
              <w:t>£</w:t>
            </w:r>
          </w:p>
        </w:tc>
        <w:tc>
          <w:tcPr>
            <w:tcW w:w="118" w:type="pct"/>
            <w:tcBorders>
              <w:top w:val="nil"/>
              <w:left w:val="nil"/>
              <w:bottom w:val="nil"/>
              <w:right w:val="nil"/>
            </w:tcBorders>
            <w:shd w:val="clear" w:color="auto" w:fill="auto"/>
            <w:noWrap/>
            <w:vAlign w:val="bottom"/>
            <w:hideMark/>
          </w:tcPr>
          <w:p w14:paraId="219D1ECB" w14:textId="77777777" w:rsidR="00DC38CF" w:rsidRDefault="00DC38CF">
            <w:pPr>
              <w:jc w:val="center"/>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23B30812" w14:textId="77777777" w:rsidR="00DC38CF" w:rsidRDefault="00DC38CF">
            <w:pPr>
              <w:jc w:val="center"/>
              <w:rPr>
                <w:rFonts w:ascii="Calibri Light" w:hAnsi="Calibri Light" w:cs="Arial"/>
                <w:sz w:val="22"/>
                <w:szCs w:val="22"/>
              </w:rPr>
            </w:pPr>
            <w:r>
              <w:rPr>
                <w:rFonts w:ascii="Calibri Light" w:hAnsi="Calibri Light" w:cs="Arial"/>
                <w:sz w:val="22"/>
                <w:szCs w:val="22"/>
              </w:rPr>
              <w:t>£</w:t>
            </w:r>
          </w:p>
        </w:tc>
        <w:tc>
          <w:tcPr>
            <w:tcW w:w="118" w:type="pct"/>
            <w:tcBorders>
              <w:top w:val="nil"/>
              <w:left w:val="nil"/>
              <w:bottom w:val="nil"/>
              <w:right w:val="nil"/>
            </w:tcBorders>
            <w:shd w:val="clear" w:color="auto" w:fill="auto"/>
            <w:noWrap/>
            <w:vAlign w:val="bottom"/>
            <w:hideMark/>
          </w:tcPr>
          <w:p w14:paraId="26496877" w14:textId="77777777" w:rsidR="00DC38CF" w:rsidRDefault="00DC38CF">
            <w:pPr>
              <w:jc w:val="center"/>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69397379" w14:textId="77777777" w:rsidR="00DC38CF" w:rsidRDefault="00DC38CF">
            <w:pPr>
              <w:jc w:val="center"/>
              <w:rPr>
                <w:rFonts w:ascii="Calibri Light" w:hAnsi="Calibri Light" w:cs="Arial"/>
                <w:sz w:val="22"/>
                <w:szCs w:val="22"/>
              </w:rPr>
            </w:pPr>
            <w:r>
              <w:rPr>
                <w:rFonts w:ascii="Calibri Light" w:hAnsi="Calibri Light" w:cs="Arial"/>
                <w:sz w:val="22"/>
                <w:szCs w:val="22"/>
              </w:rPr>
              <w:t>£</w:t>
            </w:r>
          </w:p>
        </w:tc>
      </w:tr>
      <w:tr w:rsidR="004D1F74" w14:paraId="61EFD1A5" w14:textId="77777777" w:rsidTr="0002742D">
        <w:trPr>
          <w:trHeight w:val="120"/>
        </w:trPr>
        <w:tc>
          <w:tcPr>
            <w:tcW w:w="1507" w:type="pct"/>
            <w:tcBorders>
              <w:top w:val="nil"/>
              <w:left w:val="nil"/>
              <w:bottom w:val="nil"/>
              <w:right w:val="nil"/>
            </w:tcBorders>
            <w:shd w:val="clear" w:color="auto" w:fill="auto"/>
            <w:noWrap/>
            <w:vAlign w:val="bottom"/>
            <w:hideMark/>
          </w:tcPr>
          <w:p w14:paraId="64157941" w14:textId="77777777" w:rsidR="00DC38CF" w:rsidRDefault="00DC38CF">
            <w:pPr>
              <w:jc w:val="center"/>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26D99539"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043E60AF" w14:textId="77777777" w:rsidR="00DC38CF" w:rsidRDefault="00DC38CF">
            <w:pPr>
              <w:jc w:val="center"/>
              <w:rPr>
                <w:sz w:val="20"/>
                <w:szCs w:val="20"/>
              </w:rPr>
            </w:pPr>
          </w:p>
        </w:tc>
        <w:tc>
          <w:tcPr>
            <w:tcW w:w="118" w:type="pct"/>
            <w:tcBorders>
              <w:top w:val="nil"/>
              <w:left w:val="nil"/>
              <w:bottom w:val="nil"/>
              <w:right w:val="nil"/>
            </w:tcBorders>
            <w:shd w:val="clear" w:color="auto" w:fill="auto"/>
            <w:noWrap/>
            <w:vAlign w:val="bottom"/>
            <w:hideMark/>
          </w:tcPr>
          <w:p w14:paraId="680FDD28" w14:textId="77777777" w:rsidR="00DC38CF" w:rsidRDefault="00DC38CF">
            <w:pPr>
              <w:rPr>
                <w:sz w:val="20"/>
                <w:szCs w:val="20"/>
              </w:rPr>
            </w:pPr>
          </w:p>
        </w:tc>
        <w:tc>
          <w:tcPr>
            <w:tcW w:w="706" w:type="pct"/>
            <w:tcBorders>
              <w:top w:val="nil"/>
              <w:left w:val="nil"/>
              <w:bottom w:val="nil"/>
              <w:right w:val="nil"/>
            </w:tcBorders>
            <w:shd w:val="clear" w:color="auto" w:fill="auto"/>
            <w:noWrap/>
            <w:vAlign w:val="bottom"/>
            <w:hideMark/>
          </w:tcPr>
          <w:p w14:paraId="43A44197" w14:textId="77777777" w:rsidR="00DC38CF" w:rsidRDefault="00DC38CF">
            <w:pPr>
              <w:rPr>
                <w:sz w:val="20"/>
                <w:szCs w:val="20"/>
              </w:rPr>
            </w:pPr>
          </w:p>
        </w:tc>
        <w:tc>
          <w:tcPr>
            <w:tcW w:w="118" w:type="pct"/>
            <w:tcBorders>
              <w:top w:val="nil"/>
              <w:left w:val="nil"/>
              <w:bottom w:val="nil"/>
              <w:right w:val="nil"/>
            </w:tcBorders>
            <w:shd w:val="clear" w:color="auto" w:fill="auto"/>
            <w:noWrap/>
            <w:vAlign w:val="bottom"/>
            <w:hideMark/>
          </w:tcPr>
          <w:p w14:paraId="0F751394" w14:textId="77777777" w:rsidR="00DC38CF" w:rsidRDefault="00DC38CF">
            <w:pPr>
              <w:rPr>
                <w:sz w:val="20"/>
                <w:szCs w:val="20"/>
              </w:rPr>
            </w:pPr>
          </w:p>
        </w:tc>
        <w:tc>
          <w:tcPr>
            <w:tcW w:w="852" w:type="pct"/>
            <w:tcBorders>
              <w:top w:val="nil"/>
              <w:left w:val="nil"/>
              <w:bottom w:val="nil"/>
              <w:right w:val="nil"/>
            </w:tcBorders>
            <w:shd w:val="clear" w:color="auto" w:fill="auto"/>
            <w:noWrap/>
            <w:vAlign w:val="bottom"/>
            <w:hideMark/>
          </w:tcPr>
          <w:p w14:paraId="197CC074" w14:textId="77777777" w:rsidR="00DC38CF" w:rsidRDefault="00DC38CF">
            <w:pPr>
              <w:rPr>
                <w:sz w:val="20"/>
                <w:szCs w:val="20"/>
              </w:rPr>
            </w:pPr>
          </w:p>
        </w:tc>
      </w:tr>
      <w:tr w:rsidR="004D1F74" w14:paraId="437390D2" w14:textId="77777777" w:rsidTr="0002742D">
        <w:trPr>
          <w:trHeight w:val="300"/>
        </w:trPr>
        <w:tc>
          <w:tcPr>
            <w:tcW w:w="1507" w:type="pct"/>
            <w:tcBorders>
              <w:top w:val="nil"/>
              <w:left w:val="nil"/>
              <w:bottom w:val="nil"/>
              <w:right w:val="nil"/>
            </w:tcBorders>
            <w:shd w:val="clear" w:color="auto" w:fill="auto"/>
            <w:noWrap/>
            <w:vAlign w:val="bottom"/>
            <w:hideMark/>
          </w:tcPr>
          <w:p w14:paraId="484A86ED" w14:textId="77777777" w:rsidR="00DC38CF" w:rsidRDefault="00DC38CF">
            <w:pPr>
              <w:rPr>
                <w:rFonts w:ascii="Calibri Light" w:hAnsi="Calibri Light" w:cs="Arial"/>
                <w:b/>
                <w:bCs/>
                <w:sz w:val="22"/>
                <w:szCs w:val="22"/>
              </w:rPr>
            </w:pPr>
            <w:r>
              <w:rPr>
                <w:rFonts w:ascii="Calibri Light" w:hAnsi="Calibri Light" w:cs="Arial"/>
                <w:b/>
                <w:bCs/>
                <w:sz w:val="22"/>
                <w:szCs w:val="22"/>
              </w:rPr>
              <w:t>CONTINUING OPERATIONS</w:t>
            </w:r>
          </w:p>
        </w:tc>
        <w:tc>
          <w:tcPr>
            <w:tcW w:w="424" w:type="pct"/>
            <w:tcBorders>
              <w:top w:val="nil"/>
              <w:left w:val="nil"/>
              <w:bottom w:val="nil"/>
              <w:right w:val="nil"/>
            </w:tcBorders>
            <w:shd w:val="clear" w:color="auto" w:fill="auto"/>
            <w:noWrap/>
            <w:vAlign w:val="bottom"/>
            <w:hideMark/>
          </w:tcPr>
          <w:p w14:paraId="6E26FFB9" w14:textId="77777777" w:rsidR="00DC38CF" w:rsidRDefault="00DC38CF">
            <w:pPr>
              <w:rPr>
                <w:rFonts w:ascii="Calibri Light" w:hAnsi="Calibri Light" w:cs="Arial"/>
                <w:b/>
                <w:bCs/>
                <w:sz w:val="22"/>
                <w:szCs w:val="22"/>
              </w:rPr>
            </w:pPr>
          </w:p>
        </w:tc>
        <w:tc>
          <w:tcPr>
            <w:tcW w:w="1275" w:type="pct"/>
            <w:tcBorders>
              <w:top w:val="nil"/>
              <w:left w:val="nil"/>
              <w:bottom w:val="nil"/>
              <w:right w:val="nil"/>
            </w:tcBorders>
            <w:shd w:val="clear" w:color="auto" w:fill="auto"/>
            <w:noWrap/>
            <w:vAlign w:val="bottom"/>
            <w:hideMark/>
          </w:tcPr>
          <w:p w14:paraId="692D3CF0" w14:textId="77777777" w:rsidR="00DC38CF" w:rsidRDefault="00DC38CF">
            <w:pPr>
              <w:jc w:val="center"/>
              <w:rPr>
                <w:sz w:val="20"/>
                <w:szCs w:val="20"/>
              </w:rPr>
            </w:pPr>
          </w:p>
        </w:tc>
        <w:tc>
          <w:tcPr>
            <w:tcW w:w="118" w:type="pct"/>
            <w:tcBorders>
              <w:top w:val="nil"/>
              <w:left w:val="nil"/>
              <w:bottom w:val="nil"/>
              <w:right w:val="nil"/>
            </w:tcBorders>
            <w:shd w:val="clear" w:color="auto" w:fill="auto"/>
            <w:noWrap/>
            <w:vAlign w:val="bottom"/>
            <w:hideMark/>
          </w:tcPr>
          <w:p w14:paraId="0787B036" w14:textId="77777777" w:rsidR="00DC38CF" w:rsidRDefault="00DC38CF">
            <w:pPr>
              <w:rPr>
                <w:sz w:val="20"/>
                <w:szCs w:val="20"/>
              </w:rPr>
            </w:pPr>
          </w:p>
        </w:tc>
        <w:tc>
          <w:tcPr>
            <w:tcW w:w="706" w:type="pct"/>
            <w:tcBorders>
              <w:top w:val="nil"/>
              <w:left w:val="nil"/>
              <w:bottom w:val="nil"/>
              <w:right w:val="nil"/>
            </w:tcBorders>
            <w:shd w:val="clear" w:color="auto" w:fill="auto"/>
            <w:noWrap/>
            <w:vAlign w:val="bottom"/>
            <w:hideMark/>
          </w:tcPr>
          <w:p w14:paraId="7B7FC61B" w14:textId="77777777" w:rsidR="00DC38CF" w:rsidRDefault="00DC38CF">
            <w:pPr>
              <w:rPr>
                <w:sz w:val="20"/>
                <w:szCs w:val="20"/>
              </w:rPr>
            </w:pPr>
          </w:p>
        </w:tc>
        <w:tc>
          <w:tcPr>
            <w:tcW w:w="118" w:type="pct"/>
            <w:tcBorders>
              <w:top w:val="nil"/>
              <w:left w:val="nil"/>
              <w:bottom w:val="nil"/>
              <w:right w:val="nil"/>
            </w:tcBorders>
            <w:shd w:val="clear" w:color="auto" w:fill="auto"/>
            <w:noWrap/>
            <w:vAlign w:val="bottom"/>
            <w:hideMark/>
          </w:tcPr>
          <w:p w14:paraId="6FDFE661" w14:textId="77777777" w:rsidR="00DC38CF" w:rsidRDefault="00DC38CF">
            <w:pPr>
              <w:rPr>
                <w:sz w:val="20"/>
                <w:szCs w:val="20"/>
              </w:rPr>
            </w:pPr>
          </w:p>
        </w:tc>
        <w:tc>
          <w:tcPr>
            <w:tcW w:w="852" w:type="pct"/>
            <w:tcBorders>
              <w:top w:val="nil"/>
              <w:left w:val="nil"/>
              <w:bottom w:val="nil"/>
              <w:right w:val="nil"/>
            </w:tcBorders>
            <w:shd w:val="clear" w:color="auto" w:fill="auto"/>
            <w:noWrap/>
            <w:vAlign w:val="bottom"/>
            <w:hideMark/>
          </w:tcPr>
          <w:p w14:paraId="7B95F8B7" w14:textId="77777777" w:rsidR="00DC38CF" w:rsidRDefault="00DC38CF">
            <w:pPr>
              <w:rPr>
                <w:sz w:val="20"/>
                <w:szCs w:val="20"/>
              </w:rPr>
            </w:pPr>
          </w:p>
        </w:tc>
      </w:tr>
      <w:tr w:rsidR="004D1F74" w14:paraId="5FED970F" w14:textId="77777777" w:rsidTr="0002742D">
        <w:trPr>
          <w:trHeight w:val="300"/>
        </w:trPr>
        <w:tc>
          <w:tcPr>
            <w:tcW w:w="1507" w:type="pct"/>
            <w:tcBorders>
              <w:top w:val="nil"/>
              <w:left w:val="nil"/>
              <w:bottom w:val="nil"/>
              <w:right w:val="nil"/>
            </w:tcBorders>
            <w:shd w:val="clear" w:color="auto" w:fill="auto"/>
            <w:noWrap/>
            <w:vAlign w:val="bottom"/>
            <w:hideMark/>
          </w:tcPr>
          <w:p w14:paraId="4387AA5F" w14:textId="77777777" w:rsidR="00DC38CF" w:rsidRDefault="00DC38CF">
            <w:pPr>
              <w:rPr>
                <w:rFonts w:ascii="Calibri Light" w:hAnsi="Calibri Light" w:cs="Arial"/>
                <w:sz w:val="22"/>
                <w:szCs w:val="22"/>
              </w:rPr>
            </w:pPr>
            <w:r>
              <w:rPr>
                <w:rFonts w:ascii="Calibri Light" w:hAnsi="Calibri Light" w:cs="Arial"/>
                <w:sz w:val="22"/>
                <w:szCs w:val="22"/>
              </w:rPr>
              <w:t>Other income</w:t>
            </w:r>
          </w:p>
        </w:tc>
        <w:tc>
          <w:tcPr>
            <w:tcW w:w="424" w:type="pct"/>
            <w:tcBorders>
              <w:top w:val="nil"/>
              <w:left w:val="nil"/>
              <w:bottom w:val="nil"/>
              <w:right w:val="nil"/>
            </w:tcBorders>
            <w:shd w:val="clear" w:color="auto" w:fill="auto"/>
            <w:noWrap/>
            <w:vAlign w:val="bottom"/>
            <w:hideMark/>
          </w:tcPr>
          <w:p w14:paraId="469FCF6F" w14:textId="77777777" w:rsidR="00DC38CF" w:rsidRDefault="00DC38CF">
            <w:pPr>
              <w:rPr>
                <w:rFonts w:ascii="Calibri Light" w:hAnsi="Calibri Light" w:cs="Arial"/>
                <w:sz w:val="22"/>
                <w:szCs w:val="22"/>
              </w:rPr>
            </w:pPr>
          </w:p>
        </w:tc>
        <w:tc>
          <w:tcPr>
            <w:tcW w:w="1275" w:type="pct"/>
            <w:tcBorders>
              <w:top w:val="nil"/>
              <w:left w:val="nil"/>
              <w:bottom w:val="nil"/>
              <w:right w:val="nil"/>
            </w:tcBorders>
            <w:shd w:val="clear" w:color="auto" w:fill="auto"/>
            <w:noWrap/>
            <w:vAlign w:val="bottom"/>
            <w:hideMark/>
          </w:tcPr>
          <w:p w14:paraId="7BE5B5C1" w14:textId="0A72192E" w:rsidR="00DC38CF" w:rsidRDefault="00DC38CF" w:rsidP="00D60B64">
            <w:pPr>
              <w:jc w:val="right"/>
              <w:rPr>
                <w:rFonts w:ascii="Calibri Light" w:hAnsi="Calibri Light" w:cs="Arial"/>
                <w:sz w:val="22"/>
                <w:szCs w:val="22"/>
              </w:rPr>
            </w:pPr>
            <w:r>
              <w:rPr>
                <w:rFonts w:ascii="Calibri Light" w:hAnsi="Calibri Light" w:cs="Arial"/>
                <w:sz w:val="22"/>
                <w:szCs w:val="22"/>
              </w:rPr>
              <w:t xml:space="preserve">-   </w:t>
            </w:r>
          </w:p>
        </w:tc>
        <w:tc>
          <w:tcPr>
            <w:tcW w:w="118" w:type="pct"/>
            <w:tcBorders>
              <w:top w:val="nil"/>
              <w:left w:val="nil"/>
              <w:bottom w:val="nil"/>
              <w:right w:val="nil"/>
            </w:tcBorders>
            <w:shd w:val="clear" w:color="auto" w:fill="auto"/>
            <w:noWrap/>
            <w:vAlign w:val="bottom"/>
            <w:hideMark/>
          </w:tcPr>
          <w:p w14:paraId="367AA48D" w14:textId="77777777" w:rsidR="00DC38CF" w:rsidRDefault="00DC38CF" w:rsidP="00D60B64">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1A077D62" w14:textId="45FB4D66" w:rsidR="00DC38CF" w:rsidRDefault="00D60B64" w:rsidP="00D60B64">
            <w:pPr>
              <w:jc w:val="right"/>
              <w:rPr>
                <w:rFonts w:ascii="Calibri Light" w:hAnsi="Calibri Light" w:cs="Arial"/>
                <w:sz w:val="22"/>
                <w:szCs w:val="22"/>
              </w:rPr>
            </w:pPr>
            <w:r>
              <w:rPr>
                <w:rFonts w:ascii="Calibri Light" w:hAnsi="Calibri Light" w:cs="Arial"/>
                <w:sz w:val="22"/>
                <w:szCs w:val="22"/>
              </w:rPr>
              <w:t>61</w:t>
            </w:r>
            <w:r w:rsidR="00DC38CF">
              <w:rPr>
                <w:rFonts w:ascii="Calibri Light" w:hAnsi="Calibri Light" w:cs="Arial"/>
                <w:sz w:val="22"/>
                <w:szCs w:val="22"/>
              </w:rPr>
              <w:t xml:space="preserve">,335 </w:t>
            </w:r>
          </w:p>
        </w:tc>
        <w:tc>
          <w:tcPr>
            <w:tcW w:w="118" w:type="pct"/>
            <w:tcBorders>
              <w:top w:val="nil"/>
              <w:left w:val="nil"/>
              <w:bottom w:val="nil"/>
              <w:right w:val="nil"/>
            </w:tcBorders>
            <w:shd w:val="clear" w:color="auto" w:fill="auto"/>
            <w:noWrap/>
            <w:vAlign w:val="bottom"/>
            <w:hideMark/>
          </w:tcPr>
          <w:p w14:paraId="2C61C902" w14:textId="77777777" w:rsidR="00DC38CF" w:rsidRDefault="00DC38CF" w:rsidP="00D60B64">
            <w:pPr>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3E69123E" w14:textId="4EB0DFA4" w:rsidR="00DC38CF" w:rsidRDefault="00DC38CF" w:rsidP="00D60B64">
            <w:pPr>
              <w:jc w:val="right"/>
              <w:rPr>
                <w:rFonts w:ascii="Calibri Light" w:hAnsi="Calibri Light" w:cs="Arial"/>
                <w:sz w:val="22"/>
                <w:szCs w:val="22"/>
              </w:rPr>
            </w:pPr>
            <w:r>
              <w:rPr>
                <w:rFonts w:ascii="Calibri Light" w:hAnsi="Calibri Light" w:cs="Arial"/>
                <w:sz w:val="22"/>
                <w:szCs w:val="22"/>
              </w:rPr>
              <w:t xml:space="preserve">         86,604 </w:t>
            </w:r>
          </w:p>
        </w:tc>
      </w:tr>
      <w:tr w:rsidR="004D1F74" w14:paraId="161DB9CA" w14:textId="77777777" w:rsidTr="0002742D">
        <w:trPr>
          <w:trHeight w:val="300"/>
        </w:trPr>
        <w:tc>
          <w:tcPr>
            <w:tcW w:w="1507" w:type="pct"/>
            <w:tcBorders>
              <w:top w:val="nil"/>
              <w:left w:val="nil"/>
              <w:bottom w:val="nil"/>
              <w:right w:val="nil"/>
            </w:tcBorders>
            <w:shd w:val="clear" w:color="auto" w:fill="auto"/>
            <w:noWrap/>
            <w:vAlign w:val="bottom"/>
            <w:hideMark/>
          </w:tcPr>
          <w:p w14:paraId="38C8FFAE" w14:textId="77777777" w:rsidR="00DC38CF" w:rsidRDefault="00DC38CF">
            <w:pPr>
              <w:rPr>
                <w:rFonts w:ascii="Calibri Light" w:hAnsi="Calibri Light" w:cs="Arial"/>
                <w:sz w:val="22"/>
                <w:szCs w:val="22"/>
              </w:rPr>
            </w:pPr>
            <w:r>
              <w:rPr>
                <w:rFonts w:ascii="Calibri Light" w:hAnsi="Calibri Light" w:cs="Arial"/>
                <w:sz w:val="22"/>
                <w:szCs w:val="22"/>
              </w:rPr>
              <w:t>Administrative expenses</w:t>
            </w:r>
          </w:p>
        </w:tc>
        <w:tc>
          <w:tcPr>
            <w:tcW w:w="424" w:type="pct"/>
            <w:tcBorders>
              <w:top w:val="nil"/>
              <w:left w:val="nil"/>
              <w:bottom w:val="nil"/>
              <w:right w:val="nil"/>
            </w:tcBorders>
            <w:shd w:val="clear" w:color="auto" w:fill="auto"/>
            <w:noWrap/>
            <w:vAlign w:val="bottom"/>
            <w:hideMark/>
          </w:tcPr>
          <w:p w14:paraId="120578E6" w14:textId="77777777" w:rsidR="00DC38CF" w:rsidRDefault="00DC38CF">
            <w:pPr>
              <w:rPr>
                <w:rFonts w:ascii="Calibri Light" w:hAnsi="Calibri Light" w:cs="Arial"/>
                <w:sz w:val="22"/>
                <w:szCs w:val="22"/>
              </w:rPr>
            </w:pPr>
          </w:p>
        </w:tc>
        <w:tc>
          <w:tcPr>
            <w:tcW w:w="1275" w:type="pct"/>
            <w:tcBorders>
              <w:top w:val="nil"/>
              <w:left w:val="nil"/>
              <w:bottom w:val="nil"/>
              <w:right w:val="nil"/>
            </w:tcBorders>
            <w:shd w:val="clear" w:color="auto" w:fill="auto"/>
            <w:noWrap/>
            <w:vAlign w:val="bottom"/>
            <w:hideMark/>
          </w:tcPr>
          <w:p w14:paraId="76FBDC5A"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(501,967)</w:t>
            </w:r>
          </w:p>
        </w:tc>
        <w:tc>
          <w:tcPr>
            <w:tcW w:w="118" w:type="pct"/>
            <w:tcBorders>
              <w:top w:val="nil"/>
              <w:left w:val="nil"/>
              <w:bottom w:val="nil"/>
              <w:right w:val="nil"/>
            </w:tcBorders>
            <w:shd w:val="clear" w:color="auto" w:fill="auto"/>
            <w:noWrap/>
            <w:vAlign w:val="bottom"/>
            <w:hideMark/>
          </w:tcPr>
          <w:p w14:paraId="37416FDE" w14:textId="77777777" w:rsidR="00DC38CF" w:rsidRDefault="00DC38CF" w:rsidP="00D60B64">
            <w:pPr>
              <w:ind w:right="-57"/>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646D6533"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(417,126)</w:t>
            </w:r>
          </w:p>
        </w:tc>
        <w:tc>
          <w:tcPr>
            <w:tcW w:w="118" w:type="pct"/>
            <w:tcBorders>
              <w:top w:val="nil"/>
              <w:left w:val="nil"/>
              <w:bottom w:val="nil"/>
              <w:right w:val="nil"/>
            </w:tcBorders>
            <w:shd w:val="clear" w:color="auto" w:fill="auto"/>
            <w:noWrap/>
            <w:vAlign w:val="bottom"/>
            <w:hideMark/>
          </w:tcPr>
          <w:p w14:paraId="53D02F4A" w14:textId="77777777" w:rsidR="00DC38CF" w:rsidRDefault="00DC38CF" w:rsidP="00D60B64">
            <w:pPr>
              <w:ind w:right="-57"/>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74B31AF2"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(891,676)</w:t>
            </w:r>
          </w:p>
        </w:tc>
      </w:tr>
      <w:tr w:rsidR="004D1F74" w14:paraId="04999964" w14:textId="77777777" w:rsidTr="0002742D">
        <w:trPr>
          <w:trHeight w:val="300"/>
        </w:trPr>
        <w:tc>
          <w:tcPr>
            <w:tcW w:w="1507" w:type="pct"/>
            <w:tcBorders>
              <w:top w:val="nil"/>
              <w:left w:val="nil"/>
              <w:bottom w:val="nil"/>
              <w:right w:val="nil"/>
            </w:tcBorders>
            <w:shd w:val="clear" w:color="auto" w:fill="auto"/>
            <w:noWrap/>
            <w:vAlign w:val="bottom"/>
            <w:hideMark/>
          </w:tcPr>
          <w:p w14:paraId="0D6D483D" w14:textId="77777777" w:rsidR="00DC38CF" w:rsidRDefault="00DC38CF">
            <w:pPr>
              <w:rPr>
                <w:rFonts w:ascii="Calibri Light" w:hAnsi="Calibri Light" w:cs="Arial"/>
                <w:sz w:val="22"/>
                <w:szCs w:val="22"/>
              </w:rPr>
            </w:pPr>
            <w:r>
              <w:rPr>
                <w:rFonts w:ascii="Calibri Light" w:hAnsi="Calibri Light" w:cs="Arial"/>
                <w:sz w:val="22"/>
                <w:szCs w:val="22"/>
              </w:rPr>
              <w:t>Share-based payment charge</w:t>
            </w:r>
          </w:p>
        </w:tc>
        <w:tc>
          <w:tcPr>
            <w:tcW w:w="424" w:type="pct"/>
            <w:tcBorders>
              <w:top w:val="nil"/>
              <w:left w:val="nil"/>
              <w:bottom w:val="nil"/>
              <w:right w:val="nil"/>
            </w:tcBorders>
            <w:shd w:val="clear" w:color="auto" w:fill="auto"/>
            <w:noWrap/>
            <w:vAlign w:val="bottom"/>
            <w:hideMark/>
          </w:tcPr>
          <w:p w14:paraId="3478F512" w14:textId="77777777" w:rsidR="00DC38CF" w:rsidRDefault="00DC38CF">
            <w:pPr>
              <w:rPr>
                <w:rFonts w:ascii="Calibri Light" w:hAnsi="Calibri Light" w:cs="Arial"/>
                <w:sz w:val="22"/>
                <w:szCs w:val="22"/>
              </w:rPr>
            </w:pPr>
          </w:p>
        </w:tc>
        <w:tc>
          <w:tcPr>
            <w:tcW w:w="1275" w:type="pct"/>
            <w:tcBorders>
              <w:top w:val="nil"/>
              <w:left w:val="nil"/>
              <w:bottom w:val="single" w:sz="4" w:space="0" w:color="auto"/>
              <w:right w:val="nil"/>
            </w:tcBorders>
            <w:shd w:val="clear" w:color="auto" w:fill="auto"/>
            <w:noWrap/>
            <w:vAlign w:val="bottom"/>
            <w:hideMark/>
          </w:tcPr>
          <w:p w14:paraId="1F5E9420"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(201,774)</w:t>
            </w:r>
          </w:p>
        </w:tc>
        <w:tc>
          <w:tcPr>
            <w:tcW w:w="118" w:type="pct"/>
            <w:tcBorders>
              <w:top w:val="nil"/>
              <w:left w:val="nil"/>
              <w:bottom w:val="nil"/>
              <w:right w:val="nil"/>
            </w:tcBorders>
            <w:shd w:val="clear" w:color="auto" w:fill="auto"/>
            <w:noWrap/>
            <w:vAlign w:val="bottom"/>
            <w:hideMark/>
          </w:tcPr>
          <w:p w14:paraId="0A654846" w14:textId="77777777" w:rsidR="00DC38CF" w:rsidRDefault="00DC38CF" w:rsidP="00DC38CF">
            <w:pPr>
              <w:jc w:val="right"/>
              <w:rPr>
                <w:rFonts w:ascii="Calibri Light" w:hAnsi="Calibri Light" w:cs="Arial"/>
                <w:sz w:val="22"/>
                <w:szCs w:val="22"/>
              </w:rPr>
            </w:pPr>
          </w:p>
        </w:tc>
        <w:tc>
          <w:tcPr>
            <w:tcW w:w="706" w:type="pct"/>
            <w:tcBorders>
              <w:top w:val="nil"/>
              <w:left w:val="nil"/>
              <w:bottom w:val="single" w:sz="4" w:space="0" w:color="auto"/>
              <w:right w:val="nil"/>
            </w:tcBorders>
            <w:shd w:val="clear" w:color="auto" w:fill="auto"/>
            <w:noWrap/>
            <w:vAlign w:val="bottom"/>
            <w:hideMark/>
          </w:tcPr>
          <w:p w14:paraId="6A926531" w14:textId="03E35828"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   </w:t>
            </w:r>
          </w:p>
        </w:tc>
        <w:tc>
          <w:tcPr>
            <w:tcW w:w="118" w:type="pct"/>
            <w:tcBorders>
              <w:top w:val="nil"/>
              <w:left w:val="nil"/>
              <w:bottom w:val="nil"/>
              <w:right w:val="nil"/>
            </w:tcBorders>
            <w:shd w:val="clear" w:color="auto" w:fill="auto"/>
            <w:noWrap/>
            <w:vAlign w:val="bottom"/>
            <w:hideMark/>
          </w:tcPr>
          <w:p w14:paraId="0D40F8BF" w14:textId="77777777" w:rsidR="00DC38CF" w:rsidRDefault="00DC38CF" w:rsidP="00DC38CF">
            <w:pPr>
              <w:jc w:val="right"/>
              <w:rPr>
                <w:rFonts w:ascii="Calibri Light" w:hAnsi="Calibri Light" w:cs="Arial"/>
                <w:sz w:val="22"/>
                <w:szCs w:val="22"/>
              </w:rPr>
            </w:pPr>
          </w:p>
        </w:tc>
        <w:tc>
          <w:tcPr>
            <w:tcW w:w="852" w:type="pct"/>
            <w:tcBorders>
              <w:top w:val="nil"/>
              <w:left w:val="nil"/>
              <w:bottom w:val="single" w:sz="4" w:space="0" w:color="auto"/>
              <w:right w:val="nil"/>
            </w:tcBorders>
            <w:shd w:val="clear" w:color="auto" w:fill="auto"/>
            <w:noWrap/>
            <w:vAlign w:val="bottom"/>
            <w:hideMark/>
          </w:tcPr>
          <w:p w14:paraId="1093791A" w14:textId="21E9A11F" w:rsidR="00DC38CF" w:rsidRDefault="00D60B64" w:rsidP="00DC38CF">
            <w:pPr>
              <w:jc w:val="right"/>
              <w:rPr>
                <w:rFonts w:ascii="Calibri Light" w:hAnsi="Calibri Light" w:cs="Arial"/>
                <w:sz w:val="22"/>
                <w:szCs w:val="22"/>
              </w:rPr>
            </w:pPr>
            <w:r>
              <w:rPr>
                <w:rFonts w:ascii="Calibri Light" w:hAnsi="Calibri Light" w:cs="Arial"/>
                <w:sz w:val="22"/>
                <w:szCs w:val="22"/>
              </w:rPr>
              <w:t>-</w:t>
            </w:r>
          </w:p>
        </w:tc>
      </w:tr>
      <w:tr w:rsidR="004D1F74" w14:paraId="4B33E6CE" w14:textId="77777777" w:rsidTr="0002742D">
        <w:trPr>
          <w:trHeight w:val="120"/>
        </w:trPr>
        <w:tc>
          <w:tcPr>
            <w:tcW w:w="1507" w:type="pct"/>
            <w:tcBorders>
              <w:top w:val="nil"/>
              <w:left w:val="nil"/>
              <w:bottom w:val="nil"/>
              <w:right w:val="nil"/>
            </w:tcBorders>
            <w:shd w:val="clear" w:color="auto" w:fill="auto"/>
            <w:noWrap/>
            <w:vAlign w:val="bottom"/>
            <w:hideMark/>
          </w:tcPr>
          <w:p w14:paraId="139E349F"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37558071"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662D503B" w14:textId="77777777" w:rsidR="00DC38CF" w:rsidRDefault="00DC38CF" w:rsidP="00D60B64">
            <w:pPr>
              <w:ind w:right="-57"/>
              <w:jc w:val="right"/>
              <w:rPr>
                <w:sz w:val="20"/>
                <w:szCs w:val="20"/>
              </w:rPr>
            </w:pPr>
          </w:p>
        </w:tc>
        <w:tc>
          <w:tcPr>
            <w:tcW w:w="118" w:type="pct"/>
            <w:tcBorders>
              <w:top w:val="nil"/>
              <w:left w:val="nil"/>
              <w:bottom w:val="nil"/>
              <w:right w:val="nil"/>
            </w:tcBorders>
            <w:shd w:val="clear" w:color="auto" w:fill="auto"/>
            <w:noWrap/>
            <w:vAlign w:val="bottom"/>
            <w:hideMark/>
          </w:tcPr>
          <w:p w14:paraId="736BD7D3"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0B43A52E"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3D247C00"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3BB5DEDF" w14:textId="77777777" w:rsidR="00DC38CF" w:rsidRDefault="00DC38CF" w:rsidP="00DC38CF">
            <w:pPr>
              <w:jc w:val="right"/>
              <w:rPr>
                <w:sz w:val="20"/>
                <w:szCs w:val="20"/>
              </w:rPr>
            </w:pPr>
          </w:p>
        </w:tc>
      </w:tr>
      <w:tr w:rsidR="004D1F74" w14:paraId="0098ED63" w14:textId="77777777" w:rsidTr="0002742D">
        <w:trPr>
          <w:trHeight w:val="300"/>
        </w:trPr>
        <w:tc>
          <w:tcPr>
            <w:tcW w:w="1507" w:type="pct"/>
            <w:tcBorders>
              <w:top w:val="nil"/>
              <w:left w:val="nil"/>
              <w:bottom w:val="nil"/>
              <w:right w:val="nil"/>
            </w:tcBorders>
            <w:shd w:val="clear" w:color="auto" w:fill="auto"/>
            <w:noWrap/>
            <w:vAlign w:val="bottom"/>
            <w:hideMark/>
          </w:tcPr>
          <w:p w14:paraId="212A45DA" w14:textId="77777777" w:rsidR="00DC38CF" w:rsidRDefault="00DC38CF">
            <w:pPr>
              <w:rPr>
                <w:rFonts w:ascii="Calibri Light" w:hAnsi="Calibri Light" w:cs="Arial"/>
                <w:b/>
                <w:bCs/>
                <w:sz w:val="22"/>
                <w:szCs w:val="22"/>
              </w:rPr>
            </w:pPr>
            <w:r>
              <w:rPr>
                <w:rFonts w:ascii="Calibri Light" w:hAnsi="Calibri Light" w:cs="Arial"/>
                <w:b/>
                <w:bCs/>
                <w:sz w:val="22"/>
                <w:szCs w:val="22"/>
              </w:rPr>
              <w:t>OPERATING LOSS</w:t>
            </w:r>
          </w:p>
        </w:tc>
        <w:tc>
          <w:tcPr>
            <w:tcW w:w="424" w:type="pct"/>
            <w:tcBorders>
              <w:top w:val="nil"/>
              <w:left w:val="nil"/>
              <w:bottom w:val="nil"/>
              <w:right w:val="nil"/>
            </w:tcBorders>
            <w:shd w:val="clear" w:color="auto" w:fill="auto"/>
            <w:noWrap/>
            <w:vAlign w:val="bottom"/>
            <w:hideMark/>
          </w:tcPr>
          <w:p w14:paraId="6DC68DF1" w14:textId="77777777" w:rsidR="00DC38CF" w:rsidRDefault="00DC38CF">
            <w:pPr>
              <w:rPr>
                <w:rFonts w:ascii="Calibri Light" w:hAnsi="Calibri Light" w:cs="Arial"/>
                <w:b/>
                <w:bCs/>
                <w:sz w:val="22"/>
                <w:szCs w:val="22"/>
              </w:rPr>
            </w:pPr>
          </w:p>
        </w:tc>
        <w:tc>
          <w:tcPr>
            <w:tcW w:w="1275" w:type="pct"/>
            <w:tcBorders>
              <w:top w:val="nil"/>
              <w:left w:val="nil"/>
              <w:bottom w:val="nil"/>
              <w:right w:val="nil"/>
            </w:tcBorders>
            <w:shd w:val="clear" w:color="auto" w:fill="auto"/>
            <w:noWrap/>
            <w:vAlign w:val="bottom"/>
            <w:hideMark/>
          </w:tcPr>
          <w:p w14:paraId="754036E8"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(703,741)</w:t>
            </w:r>
          </w:p>
        </w:tc>
        <w:tc>
          <w:tcPr>
            <w:tcW w:w="118" w:type="pct"/>
            <w:tcBorders>
              <w:top w:val="nil"/>
              <w:left w:val="nil"/>
              <w:bottom w:val="nil"/>
              <w:right w:val="nil"/>
            </w:tcBorders>
            <w:shd w:val="clear" w:color="auto" w:fill="auto"/>
            <w:noWrap/>
            <w:vAlign w:val="bottom"/>
            <w:hideMark/>
          </w:tcPr>
          <w:p w14:paraId="3B8752E6" w14:textId="77777777" w:rsidR="00DC38CF" w:rsidRDefault="00DC38CF" w:rsidP="00DC38CF">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51841BB1"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(355,791)</w:t>
            </w:r>
          </w:p>
        </w:tc>
        <w:tc>
          <w:tcPr>
            <w:tcW w:w="118" w:type="pct"/>
            <w:tcBorders>
              <w:top w:val="nil"/>
              <w:left w:val="nil"/>
              <w:bottom w:val="nil"/>
              <w:right w:val="nil"/>
            </w:tcBorders>
            <w:shd w:val="clear" w:color="auto" w:fill="auto"/>
            <w:noWrap/>
            <w:vAlign w:val="bottom"/>
            <w:hideMark/>
          </w:tcPr>
          <w:p w14:paraId="542742D8" w14:textId="77777777" w:rsidR="00DC38CF" w:rsidRDefault="00DC38CF" w:rsidP="00D60B64">
            <w:pPr>
              <w:ind w:right="-57"/>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013C47BE" w14:textId="77777777" w:rsidR="00DC38CF" w:rsidRDefault="00DC38CF" w:rsidP="00D60B64">
            <w:pPr>
              <w:ind w:right="-57"/>
              <w:jc w:val="right"/>
              <w:rPr>
                <w:rFonts w:ascii="Calibri Light" w:hAnsi="Calibri Light" w:cs="Arial"/>
                <w:sz w:val="22"/>
                <w:szCs w:val="22"/>
              </w:rPr>
            </w:pPr>
            <w:r>
              <w:rPr>
                <w:rFonts w:ascii="Calibri Light" w:hAnsi="Calibri Light" w:cs="Arial"/>
                <w:color w:val="FF0000"/>
                <w:sz w:val="22"/>
                <w:szCs w:val="22"/>
              </w:rPr>
              <w:t>(805,072)</w:t>
            </w:r>
          </w:p>
        </w:tc>
      </w:tr>
      <w:tr w:rsidR="004D1F74" w14:paraId="42634FFB" w14:textId="77777777" w:rsidTr="0002742D">
        <w:trPr>
          <w:trHeight w:val="120"/>
        </w:trPr>
        <w:tc>
          <w:tcPr>
            <w:tcW w:w="1507" w:type="pct"/>
            <w:tcBorders>
              <w:top w:val="nil"/>
              <w:left w:val="nil"/>
              <w:bottom w:val="nil"/>
              <w:right w:val="nil"/>
            </w:tcBorders>
            <w:shd w:val="clear" w:color="auto" w:fill="auto"/>
            <w:noWrap/>
            <w:vAlign w:val="bottom"/>
            <w:hideMark/>
          </w:tcPr>
          <w:p w14:paraId="05D7ACA3"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3E0694A2"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1D80EAE2"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75BFAD46"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55675A14"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78F790A5"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4C7512E9" w14:textId="77777777" w:rsidR="00DC38CF" w:rsidRDefault="00DC38CF" w:rsidP="00DC38CF">
            <w:pPr>
              <w:jc w:val="right"/>
              <w:rPr>
                <w:sz w:val="20"/>
                <w:szCs w:val="20"/>
              </w:rPr>
            </w:pPr>
          </w:p>
        </w:tc>
      </w:tr>
      <w:tr w:rsidR="004D1F74" w14:paraId="63C26129" w14:textId="77777777" w:rsidTr="0002742D">
        <w:trPr>
          <w:trHeight w:val="300"/>
        </w:trPr>
        <w:tc>
          <w:tcPr>
            <w:tcW w:w="1507" w:type="pct"/>
            <w:tcBorders>
              <w:top w:val="nil"/>
              <w:left w:val="nil"/>
              <w:bottom w:val="nil"/>
              <w:right w:val="nil"/>
            </w:tcBorders>
            <w:shd w:val="clear" w:color="auto" w:fill="auto"/>
            <w:vAlign w:val="bottom"/>
            <w:hideMark/>
          </w:tcPr>
          <w:p w14:paraId="77003A21" w14:textId="24CF62B4" w:rsidR="00DC38CF" w:rsidRDefault="00DC38CF">
            <w:pPr>
              <w:rPr>
                <w:rFonts w:ascii="Calibri Light" w:hAnsi="Calibri Light" w:cs="Arial"/>
                <w:sz w:val="22"/>
                <w:szCs w:val="22"/>
              </w:rPr>
            </w:pPr>
            <w:r>
              <w:rPr>
                <w:rFonts w:ascii="Calibri Light" w:hAnsi="Calibri Light" w:cs="Arial"/>
                <w:sz w:val="22"/>
                <w:szCs w:val="22"/>
              </w:rPr>
              <w:t>Gain on revaluation of investments and loans</w:t>
            </w:r>
          </w:p>
        </w:tc>
        <w:tc>
          <w:tcPr>
            <w:tcW w:w="424" w:type="pct"/>
            <w:tcBorders>
              <w:top w:val="nil"/>
              <w:left w:val="nil"/>
              <w:bottom w:val="nil"/>
              <w:right w:val="nil"/>
            </w:tcBorders>
            <w:shd w:val="clear" w:color="auto" w:fill="auto"/>
            <w:noWrap/>
            <w:vAlign w:val="bottom"/>
            <w:hideMark/>
          </w:tcPr>
          <w:p w14:paraId="5EC2FE0B" w14:textId="77777777" w:rsidR="00DC38CF" w:rsidRDefault="00DC38CF">
            <w:pPr>
              <w:rPr>
                <w:rFonts w:ascii="Calibri Light" w:hAnsi="Calibri Light" w:cs="Arial"/>
                <w:sz w:val="22"/>
                <w:szCs w:val="22"/>
              </w:rPr>
            </w:pPr>
          </w:p>
        </w:tc>
        <w:tc>
          <w:tcPr>
            <w:tcW w:w="1275" w:type="pct"/>
            <w:tcBorders>
              <w:top w:val="nil"/>
              <w:left w:val="nil"/>
              <w:bottom w:val="single" w:sz="4" w:space="0" w:color="auto"/>
              <w:right w:val="nil"/>
            </w:tcBorders>
            <w:shd w:val="clear" w:color="auto" w:fill="auto"/>
            <w:noWrap/>
            <w:vAlign w:val="bottom"/>
            <w:hideMark/>
          </w:tcPr>
          <w:p w14:paraId="7998E826" w14:textId="33E816DF"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w:t>
            </w:r>
            <w:r w:rsidR="00895305">
              <w:rPr>
                <w:rFonts w:ascii="Calibri Light" w:hAnsi="Calibri Light" w:cs="Arial"/>
                <w:sz w:val="22"/>
                <w:szCs w:val="22"/>
              </w:rPr>
              <w:t>7,645,980</w:t>
            </w:r>
            <w:r>
              <w:rPr>
                <w:rFonts w:ascii="Calibri Light" w:hAnsi="Calibri Light" w:cs="Arial"/>
                <w:sz w:val="22"/>
                <w:szCs w:val="22"/>
              </w:rPr>
              <w:t xml:space="preserve">   </w:t>
            </w:r>
          </w:p>
        </w:tc>
        <w:tc>
          <w:tcPr>
            <w:tcW w:w="118" w:type="pct"/>
            <w:tcBorders>
              <w:top w:val="nil"/>
              <w:left w:val="nil"/>
              <w:bottom w:val="nil"/>
              <w:right w:val="nil"/>
            </w:tcBorders>
            <w:shd w:val="clear" w:color="auto" w:fill="auto"/>
            <w:noWrap/>
            <w:vAlign w:val="bottom"/>
            <w:hideMark/>
          </w:tcPr>
          <w:p w14:paraId="7A0EF92E" w14:textId="77777777" w:rsidR="00DC38CF" w:rsidRDefault="00DC38CF" w:rsidP="00DC38CF">
            <w:pPr>
              <w:jc w:val="right"/>
              <w:rPr>
                <w:rFonts w:ascii="Calibri Light" w:hAnsi="Calibri Light" w:cs="Arial"/>
                <w:sz w:val="22"/>
                <w:szCs w:val="22"/>
              </w:rPr>
            </w:pPr>
          </w:p>
        </w:tc>
        <w:tc>
          <w:tcPr>
            <w:tcW w:w="706" w:type="pct"/>
            <w:tcBorders>
              <w:top w:val="nil"/>
              <w:left w:val="nil"/>
              <w:bottom w:val="single" w:sz="4" w:space="0" w:color="auto"/>
              <w:right w:val="nil"/>
            </w:tcBorders>
            <w:shd w:val="clear" w:color="auto" w:fill="auto"/>
            <w:noWrap/>
            <w:vAlign w:val="bottom"/>
            <w:hideMark/>
          </w:tcPr>
          <w:p w14:paraId="2B7A51D3"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488,335</w:t>
            </w:r>
          </w:p>
        </w:tc>
        <w:tc>
          <w:tcPr>
            <w:tcW w:w="118" w:type="pct"/>
            <w:tcBorders>
              <w:top w:val="nil"/>
              <w:left w:val="nil"/>
              <w:bottom w:val="nil"/>
              <w:right w:val="nil"/>
            </w:tcBorders>
            <w:shd w:val="clear" w:color="auto" w:fill="auto"/>
            <w:noWrap/>
            <w:vAlign w:val="bottom"/>
            <w:hideMark/>
          </w:tcPr>
          <w:p w14:paraId="0EA1C5BA" w14:textId="77777777" w:rsidR="00DC38CF" w:rsidRDefault="00DC38CF" w:rsidP="00DC38CF">
            <w:pPr>
              <w:jc w:val="right"/>
              <w:rPr>
                <w:rFonts w:ascii="Calibri Light" w:hAnsi="Calibri Light" w:cs="Arial"/>
                <w:sz w:val="22"/>
                <w:szCs w:val="22"/>
              </w:rPr>
            </w:pPr>
          </w:p>
        </w:tc>
        <w:tc>
          <w:tcPr>
            <w:tcW w:w="852" w:type="pct"/>
            <w:tcBorders>
              <w:top w:val="nil"/>
              <w:left w:val="nil"/>
              <w:bottom w:val="single" w:sz="4" w:space="0" w:color="auto"/>
              <w:right w:val="nil"/>
            </w:tcBorders>
            <w:shd w:val="clear" w:color="auto" w:fill="auto"/>
            <w:noWrap/>
            <w:vAlign w:val="bottom"/>
            <w:hideMark/>
          </w:tcPr>
          <w:p w14:paraId="6F2B1B47"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3,076,415 </w:t>
            </w:r>
          </w:p>
        </w:tc>
      </w:tr>
      <w:tr w:rsidR="004D1F74" w14:paraId="1FE2F2FD" w14:textId="77777777" w:rsidTr="0002742D">
        <w:trPr>
          <w:trHeight w:val="120"/>
        </w:trPr>
        <w:tc>
          <w:tcPr>
            <w:tcW w:w="1507" w:type="pct"/>
            <w:tcBorders>
              <w:top w:val="nil"/>
              <w:left w:val="nil"/>
              <w:bottom w:val="nil"/>
              <w:right w:val="nil"/>
            </w:tcBorders>
            <w:shd w:val="clear" w:color="auto" w:fill="auto"/>
            <w:noWrap/>
            <w:vAlign w:val="bottom"/>
            <w:hideMark/>
          </w:tcPr>
          <w:p w14:paraId="3316512A" w14:textId="77777777" w:rsidR="00DC38CF" w:rsidRDefault="00DC38CF">
            <w:pPr>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7A3487FA"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4C518C36"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6F7CE056"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24B73296"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231C7B56"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16B459BA" w14:textId="77777777" w:rsidR="00DC38CF" w:rsidRDefault="00DC38CF" w:rsidP="00DC38CF">
            <w:pPr>
              <w:jc w:val="right"/>
              <w:rPr>
                <w:sz w:val="20"/>
                <w:szCs w:val="20"/>
              </w:rPr>
            </w:pPr>
          </w:p>
        </w:tc>
      </w:tr>
      <w:tr w:rsidR="004D1F74" w14:paraId="77FC32BB" w14:textId="77777777" w:rsidTr="0002742D">
        <w:trPr>
          <w:trHeight w:val="300"/>
        </w:trPr>
        <w:tc>
          <w:tcPr>
            <w:tcW w:w="1507" w:type="pct"/>
            <w:tcBorders>
              <w:top w:val="nil"/>
              <w:left w:val="nil"/>
              <w:bottom w:val="nil"/>
              <w:right w:val="nil"/>
            </w:tcBorders>
            <w:shd w:val="clear" w:color="auto" w:fill="auto"/>
            <w:noWrap/>
            <w:vAlign w:val="bottom"/>
            <w:hideMark/>
          </w:tcPr>
          <w:p w14:paraId="60909326" w14:textId="77777777" w:rsidR="00DC38CF" w:rsidRDefault="00DC38CF">
            <w:pPr>
              <w:rPr>
                <w:sz w:val="20"/>
                <w:szCs w:val="20"/>
              </w:rPr>
            </w:pPr>
          </w:p>
        </w:tc>
        <w:tc>
          <w:tcPr>
            <w:tcW w:w="424" w:type="pct"/>
            <w:tcBorders>
              <w:top w:val="nil"/>
              <w:left w:val="nil"/>
              <w:bottom w:val="nil"/>
              <w:right w:val="nil"/>
            </w:tcBorders>
            <w:shd w:val="clear" w:color="auto" w:fill="auto"/>
            <w:noWrap/>
            <w:vAlign w:val="bottom"/>
            <w:hideMark/>
          </w:tcPr>
          <w:p w14:paraId="2569FE56"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6E4EE170" w14:textId="69C245C5" w:rsidR="00DC38CF" w:rsidRDefault="00C214DB" w:rsidP="000668F3">
            <w:pPr>
              <w:ind w:right="-57"/>
              <w:jc w:val="right"/>
              <w:rPr>
                <w:rFonts w:ascii="Calibri Light" w:hAnsi="Calibri Light" w:cs="Arial"/>
                <w:sz w:val="22"/>
                <w:szCs w:val="22"/>
              </w:rPr>
            </w:pPr>
            <w:r>
              <w:rPr>
                <w:rFonts w:ascii="Calibri Light" w:hAnsi="Calibri Light" w:cs="Arial"/>
                <w:sz w:val="22"/>
                <w:szCs w:val="22"/>
              </w:rPr>
              <w:t>6,942,239</w:t>
            </w:r>
          </w:p>
        </w:tc>
        <w:tc>
          <w:tcPr>
            <w:tcW w:w="118" w:type="pct"/>
            <w:tcBorders>
              <w:top w:val="nil"/>
              <w:left w:val="nil"/>
              <w:bottom w:val="nil"/>
              <w:right w:val="nil"/>
            </w:tcBorders>
            <w:shd w:val="clear" w:color="auto" w:fill="auto"/>
            <w:noWrap/>
            <w:vAlign w:val="bottom"/>
            <w:hideMark/>
          </w:tcPr>
          <w:p w14:paraId="632B685E" w14:textId="77777777" w:rsidR="00DC38CF" w:rsidRDefault="00DC38CF" w:rsidP="00DC38CF">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134FC088"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132,544</w:t>
            </w:r>
          </w:p>
        </w:tc>
        <w:tc>
          <w:tcPr>
            <w:tcW w:w="118" w:type="pct"/>
            <w:tcBorders>
              <w:top w:val="nil"/>
              <w:left w:val="nil"/>
              <w:bottom w:val="nil"/>
              <w:right w:val="nil"/>
            </w:tcBorders>
            <w:shd w:val="clear" w:color="auto" w:fill="auto"/>
            <w:noWrap/>
            <w:vAlign w:val="bottom"/>
            <w:hideMark/>
          </w:tcPr>
          <w:p w14:paraId="7599E7D6" w14:textId="77777777" w:rsidR="00DC38CF" w:rsidRDefault="00DC38CF" w:rsidP="00DC38CF">
            <w:pPr>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2C5FF30E" w14:textId="3105297D" w:rsidR="00DC38CF" w:rsidRDefault="00DC38CF" w:rsidP="000668F3">
            <w:pPr>
              <w:rPr>
                <w:rFonts w:ascii="Calibri Light" w:hAnsi="Calibri Light" w:cs="Arial"/>
                <w:sz w:val="22"/>
                <w:szCs w:val="22"/>
              </w:rPr>
            </w:pPr>
            <w:r>
              <w:rPr>
                <w:rFonts w:ascii="Calibri Light" w:hAnsi="Calibri Light" w:cs="Arial"/>
                <w:sz w:val="22"/>
                <w:szCs w:val="22"/>
              </w:rPr>
              <w:t xml:space="preserve">        2,271,343 </w:t>
            </w:r>
          </w:p>
        </w:tc>
      </w:tr>
      <w:tr w:rsidR="004D1F74" w14:paraId="5E437E31" w14:textId="77777777" w:rsidTr="0002742D">
        <w:trPr>
          <w:trHeight w:val="120"/>
        </w:trPr>
        <w:tc>
          <w:tcPr>
            <w:tcW w:w="1507" w:type="pct"/>
            <w:tcBorders>
              <w:top w:val="nil"/>
              <w:left w:val="nil"/>
              <w:bottom w:val="nil"/>
              <w:right w:val="nil"/>
            </w:tcBorders>
            <w:shd w:val="clear" w:color="auto" w:fill="auto"/>
            <w:noWrap/>
            <w:vAlign w:val="bottom"/>
            <w:hideMark/>
          </w:tcPr>
          <w:p w14:paraId="21331730" w14:textId="77777777" w:rsidR="00DC38CF" w:rsidRDefault="00DC38CF">
            <w:pPr>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400D4B9A"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591A3181"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5CEA048B"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18BD2ACE"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2C1FE04D"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5DECBE0A" w14:textId="77777777" w:rsidR="00DC38CF" w:rsidRDefault="00DC38CF" w:rsidP="00DC38CF">
            <w:pPr>
              <w:jc w:val="right"/>
              <w:rPr>
                <w:sz w:val="20"/>
                <w:szCs w:val="20"/>
              </w:rPr>
            </w:pPr>
          </w:p>
        </w:tc>
      </w:tr>
      <w:tr w:rsidR="004D1F74" w14:paraId="6F1D40D5" w14:textId="77777777" w:rsidTr="0002742D">
        <w:trPr>
          <w:trHeight w:val="240"/>
        </w:trPr>
        <w:tc>
          <w:tcPr>
            <w:tcW w:w="1507" w:type="pct"/>
            <w:tcBorders>
              <w:top w:val="nil"/>
              <w:left w:val="nil"/>
              <w:bottom w:val="nil"/>
              <w:right w:val="nil"/>
            </w:tcBorders>
            <w:shd w:val="clear" w:color="auto" w:fill="auto"/>
            <w:noWrap/>
            <w:vAlign w:val="bottom"/>
            <w:hideMark/>
          </w:tcPr>
          <w:p w14:paraId="5E4D019B" w14:textId="77777777" w:rsidR="00DC38CF" w:rsidRDefault="00DC38CF">
            <w:pPr>
              <w:rPr>
                <w:rFonts w:ascii="Calibri Light" w:hAnsi="Calibri Light" w:cs="Arial"/>
                <w:sz w:val="22"/>
                <w:szCs w:val="22"/>
              </w:rPr>
            </w:pPr>
            <w:r>
              <w:rPr>
                <w:rFonts w:ascii="Calibri Light" w:hAnsi="Calibri Light" w:cs="Arial"/>
                <w:sz w:val="22"/>
                <w:szCs w:val="22"/>
              </w:rPr>
              <w:t>Finance income</w:t>
            </w:r>
          </w:p>
        </w:tc>
        <w:tc>
          <w:tcPr>
            <w:tcW w:w="424" w:type="pct"/>
            <w:tcBorders>
              <w:top w:val="nil"/>
              <w:left w:val="nil"/>
              <w:bottom w:val="nil"/>
              <w:right w:val="nil"/>
            </w:tcBorders>
            <w:shd w:val="clear" w:color="auto" w:fill="auto"/>
            <w:noWrap/>
            <w:vAlign w:val="bottom"/>
            <w:hideMark/>
          </w:tcPr>
          <w:p w14:paraId="4B436F0D" w14:textId="77777777" w:rsidR="00DC38CF" w:rsidRDefault="00DC38CF">
            <w:pPr>
              <w:rPr>
                <w:rFonts w:ascii="Calibri Light" w:hAnsi="Calibri Light" w:cs="Arial"/>
                <w:sz w:val="22"/>
                <w:szCs w:val="22"/>
              </w:rPr>
            </w:pPr>
          </w:p>
        </w:tc>
        <w:tc>
          <w:tcPr>
            <w:tcW w:w="1275" w:type="pct"/>
            <w:tcBorders>
              <w:top w:val="nil"/>
              <w:left w:val="nil"/>
              <w:bottom w:val="nil"/>
              <w:right w:val="nil"/>
            </w:tcBorders>
            <w:shd w:val="clear" w:color="auto" w:fill="auto"/>
            <w:noWrap/>
            <w:vAlign w:val="bottom"/>
            <w:hideMark/>
          </w:tcPr>
          <w:p w14:paraId="75081418" w14:textId="5CFB91D2" w:rsidR="00DC38CF" w:rsidRDefault="00DC38CF" w:rsidP="0021095F">
            <w:pPr>
              <w:jc w:val="right"/>
              <w:rPr>
                <w:rFonts w:ascii="Calibri Light" w:hAnsi="Calibri Light" w:cs="Arial"/>
                <w:sz w:val="22"/>
                <w:szCs w:val="22"/>
              </w:rPr>
            </w:pPr>
            <w:r>
              <w:rPr>
                <w:rFonts w:ascii="Calibri Light" w:hAnsi="Calibri Light" w:cs="Arial"/>
                <w:sz w:val="22"/>
                <w:szCs w:val="22"/>
              </w:rPr>
              <w:t>116,314</w:t>
            </w:r>
          </w:p>
        </w:tc>
        <w:tc>
          <w:tcPr>
            <w:tcW w:w="118" w:type="pct"/>
            <w:tcBorders>
              <w:top w:val="nil"/>
              <w:left w:val="nil"/>
              <w:bottom w:val="nil"/>
              <w:right w:val="nil"/>
            </w:tcBorders>
            <w:shd w:val="clear" w:color="auto" w:fill="auto"/>
            <w:noWrap/>
            <w:vAlign w:val="bottom"/>
            <w:hideMark/>
          </w:tcPr>
          <w:p w14:paraId="51F7DCC5" w14:textId="77777777" w:rsidR="00DC38CF" w:rsidRDefault="00DC38CF" w:rsidP="0021095F">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2CDD5BBE" w14:textId="412C6454" w:rsidR="00DC38CF" w:rsidRDefault="00DC38CF" w:rsidP="0021095F">
            <w:pPr>
              <w:jc w:val="right"/>
              <w:rPr>
                <w:rFonts w:ascii="Calibri Light" w:hAnsi="Calibri Light" w:cs="Arial"/>
                <w:sz w:val="22"/>
                <w:szCs w:val="22"/>
              </w:rPr>
            </w:pPr>
            <w:r>
              <w:rPr>
                <w:rFonts w:ascii="Calibri Light" w:hAnsi="Calibri Light" w:cs="Arial"/>
                <w:sz w:val="22"/>
                <w:szCs w:val="22"/>
              </w:rPr>
              <w:t xml:space="preserve">50,093 </w:t>
            </w:r>
          </w:p>
        </w:tc>
        <w:tc>
          <w:tcPr>
            <w:tcW w:w="118" w:type="pct"/>
            <w:tcBorders>
              <w:top w:val="nil"/>
              <w:left w:val="nil"/>
              <w:bottom w:val="nil"/>
              <w:right w:val="nil"/>
            </w:tcBorders>
            <w:shd w:val="clear" w:color="auto" w:fill="auto"/>
            <w:noWrap/>
            <w:vAlign w:val="bottom"/>
            <w:hideMark/>
          </w:tcPr>
          <w:p w14:paraId="43154A43" w14:textId="77777777" w:rsidR="00DC38CF" w:rsidRDefault="00DC38CF" w:rsidP="0021095F">
            <w:pPr>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22CEB5B2" w14:textId="4835A506" w:rsidR="00DC38CF" w:rsidRDefault="00DC38CF" w:rsidP="0021095F">
            <w:pPr>
              <w:jc w:val="right"/>
              <w:rPr>
                <w:rFonts w:ascii="Calibri Light" w:hAnsi="Calibri Light" w:cs="Arial"/>
                <w:sz w:val="22"/>
                <w:szCs w:val="22"/>
              </w:rPr>
            </w:pPr>
            <w:r>
              <w:rPr>
                <w:rFonts w:ascii="Calibri Light" w:hAnsi="Calibri Light" w:cs="Arial"/>
                <w:sz w:val="22"/>
                <w:szCs w:val="22"/>
              </w:rPr>
              <w:t xml:space="preserve">           109,618 </w:t>
            </w:r>
          </w:p>
        </w:tc>
      </w:tr>
      <w:tr w:rsidR="004D1F74" w14:paraId="016E50A7" w14:textId="77777777" w:rsidTr="0002742D">
        <w:trPr>
          <w:trHeight w:val="120"/>
        </w:trPr>
        <w:tc>
          <w:tcPr>
            <w:tcW w:w="1507" w:type="pct"/>
            <w:tcBorders>
              <w:top w:val="nil"/>
              <w:left w:val="nil"/>
              <w:bottom w:val="nil"/>
              <w:right w:val="nil"/>
            </w:tcBorders>
            <w:shd w:val="clear" w:color="auto" w:fill="auto"/>
            <w:noWrap/>
            <w:vAlign w:val="bottom"/>
            <w:hideMark/>
          </w:tcPr>
          <w:p w14:paraId="504D1D0B" w14:textId="77777777" w:rsidR="00DC38CF" w:rsidRDefault="00DC38CF">
            <w:pPr>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39601DF7"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376A66F2"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07FC2011"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6E66F0F5"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7E36DD76"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19DAFED1" w14:textId="77777777" w:rsidR="00DC38CF" w:rsidRDefault="00DC38CF" w:rsidP="00DC38CF">
            <w:pPr>
              <w:jc w:val="right"/>
              <w:rPr>
                <w:sz w:val="20"/>
                <w:szCs w:val="20"/>
              </w:rPr>
            </w:pPr>
          </w:p>
        </w:tc>
      </w:tr>
      <w:tr w:rsidR="004D1F74" w14:paraId="7093BFEC" w14:textId="77777777" w:rsidTr="0002742D">
        <w:trPr>
          <w:trHeight w:val="240"/>
        </w:trPr>
        <w:tc>
          <w:tcPr>
            <w:tcW w:w="1507" w:type="pct"/>
            <w:tcBorders>
              <w:top w:val="nil"/>
              <w:left w:val="nil"/>
              <w:bottom w:val="nil"/>
              <w:right w:val="nil"/>
            </w:tcBorders>
            <w:shd w:val="clear" w:color="auto" w:fill="auto"/>
            <w:noWrap/>
            <w:vAlign w:val="bottom"/>
            <w:hideMark/>
          </w:tcPr>
          <w:p w14:paraId="0018B70B" w14:textId="77777777" w:rsidR="00DC38CF" w:rsidRDefault="00DC38CF">
            <w:pPr>
              <w:rPr>
                <w:rFonts w:ascii="Calibri Light" w:hAnsi="Calibri Light" w:cs="Arial"/>
                <w:sz w:val="22"/>
                <w:szCs w:val="22"/>
              </w:rPr>
            </w:pPr>
            <w:r>
              <w:rPr>
                <w:rFonts w:ascii="Calibri Light" w:hAnsi="Calibri Light" w:cs="Arial"/>
                <w:sz w:val="22"/>
                <w:szCs w:val="22"/>
              </w:rPr>
              <w:t>Finance costs</w:t>
            </w:r>
          </w:p>
        </w:tc>
        <w:tc>
          <w:tcPr>
            <w:tcW w:w="424" w:type="pct"/>
            <w:tcBorders>
              <w:top w:val="nil"/>
              <w:left w:val="nil"/>
              <w:bottom w:val="nil"/>
              <w:right w:val="nil"/>
            </w:tcBorders>
            <w:shd w:val="clear" w:color="auto" w:fill="auto"/>
            <w:noWrap/>
            <w:vAlign w:val="bottom"/>
            <w:hideMark/>
          </w:tcPr>
          <w:p w14:paraId="4F32C018" w14:textId="77777777" w:rsidR="00DC38CF" w:rsidRDefault="00DC38CF">
            <w:pPr>
              <w:rPr>
                <w:rFonts w:ascii="Calibri Light" w:hAnsi="Calibri Light" w:cs="Arial"/>
                <w:sz w:val="22"/>
                <w:szCs w:val="22"/>
              </w:rPr>
            </w:pPr>
          </w:p>
        </w:tc>
        <w:tc>
          <w:tcPr>
            <w:tcW w:w="1275" w:type="pct"/>
            <w:tcBorders>
              <w:top w:val="nil"/>
              <w:left w:val="nil"/>
              <w:bottom w:val="single" w:sz="4" w:space="0" w:color="auto"/>
              <w:right w:val="nil"/>
            </w:tcBorders>
            <w:shd w:val="clear" w:color="auto" w:fill="auto"/>
            <w:noWrap/>
            <w:vAlign w:val="bottom"/>
            <w:hideMark/>
          </w:tcPr>
          <w:p w14:paraId="6900264D" w14:textId="77777777" w:rsidR="00DC38CF" w:rsidRDefault="00DC38CF" w:rsidP="0021095F">
            <w:pPr>
              <w:ind w:right="-57"/>
              <w:jc w:val="right"/>
              <w:rPr>
                <w:rFonts w:ascii="Calibri Light" w:hAnsi="Calibri Light" w:cs="Arial"/>
                <w:sz w:val="22"/>
                <w:szCs w:val="22"/>
              </w:rPr>
            </w:pPr>
            <w:r>
              <w:rPr>
                <w:rFonts w:ascii="Calibri Light" w:hAnsi="Calibri Light" w:cs="Arial"/>
                <w:color w:val="FF0000"/>
                <w:sz w:val="22"/>
                <w:szCs w:val="22"/>
              </w:rPr>
              <w:t>(26,200)</w:t>
            </w:r>
          </w:p>
        </w:tc>
        <w:tc>
          <w:tcPr>
            <w:tcW w:w="118" w:type="pct"/>
            <w:tcBorders>
              <w:top w:val="nil"/>
              <w:left w:val="nil"/>
              <w:bottom w:val="nil"/>
              <w:right w:val="nil"/>
            </w:tcBorders>
            <w:shd w:val="clear" w:color="auto" w:fill="auto"/>
            <w:noWrap/>
            <w:vAlign w:val="bottom"/>
            <w:hideMark/>
          </w:tcPr>
          <w:p w14:paraId="45CA59E6" w14:textId="77777777" w:rsidR="00DC38CF" w:rsidRDefault="00DC38CF" w:rsidP="00DC38CF">
            <w:pPr>
              <w:jc w:val="right"/>
              <w:rPr>
                <w:rFonts w:ascii="Calibri Light" w:hAnsi="Calibri Light" w:cs="Arial"/>
                <w:sz w:val="22"/>
                <w:szCs w:val="22"/>
              </w:rPr>
            </w:pPr>
          </w:p>
        </w:tc>
        <w:tc>
          <w:tcPr>
            <w:tcW w:w="706" w:type="pct"/>
            <w:tcBorders>
              <w:top w:val="nil"/>
              <w:left w:val="nil"/>
              <w:bottom w:val="single" w:sz="4" w:space="0" w:color="auto"/>
              <w:right w:val="nil"/>
            </w:tcBorders>
            <w:shd w:val="clear" w:color="auto" w:fill="auto"/>
            <w:noWrap/>
            <w:vAlign w:val="bottom"/>
            <w:hideMark/>
          </w:tcPr>
          <w:p w14:paraId="7EE7A50B" w14:textId="77777777" w:rsidR="00DC38CF" w:rsidRDefault="00DC38CF" w:rsidP="0021095F">
            <w:pPr>
              <w:ind w:right="-57"/>
              <w:jc w:val="right"/>
              <w:rPr>
                <w:rFonts w:ascii="Calibri Light" w:hAnsi="Calibri Light" w:cs="Arial"/>
                <w:sz w:val="22"/>
                <w:szCs w:val="22"/>
              </w:rPr>
            </w:pPr>
            <w:r>
              <w:rPr>
                <w:rFonts w:ascii="Calibri Light" w:hAnsi="Calibri Light" w:cs="Arial"/>
                <w:color w:val="FF0000"/>
                <w:sz w:val="22"/>
                <w:szCs w:val="22"/>
              </w:rPr>
              <w:t>(53,281)</w:t>
            </w:r>
          </w:p>
        </w:tc>
        <w:tc>
          <w:tcPr>
            <w:tcW w:w="118" w:type="pct"/>
            <w:tcBorders>
              <w:top w:val="nil"/>
              <w:left w:val="nil"/>
              <w:bottom w:val="nil"/>
              <w:right w:val="nil"/>
            </w:tcBorders>
            <w:shd w:val="clear" w:color="auto" w:fill="auto"/>
            <w:noWrap/>
            <w:vAlign w:val="bottom"/>
            <w:hideMark/>
          </w:tcPr>
          <w:p w14:paraId="17B384B2" w14:textId="77777777" w:rsidR="00DC38CF" w:rsidRDefault="00DC38CF" w:rsidP="0021095F">
            <w:pPr>
              <w:ind w:right="-57"/>
              <w:jc w:val="right"/>
              <w:rPr>
                <w:rFonts w:ascii="Calibri Light" w:hAnsi="Calibri Light" w:cs="Arial"/>
                <w:sz w:val="22"/>
                <w:szCs w:val="22"/>
              </w:rPr>
            </w:pPr>
          </w:p>
        </w:tc>
        <w:tc>
          <w:tcPr>
            <w:tcW w:w="852" w:type="pct"/>
            <w:tcBorders>
              <w:top w:val="nil"/>
              <w:left w:val="nil"/>
              <w:bottom w:val="single" w:sz="4" w:space="0" w:color="auto"/>
              <w:right w:val="nil"/>
            </w:tcBorders>
            <w:shd w:val="clear" w:color="auto" w:fill="auto"/>
            <w:noWrap/>
            <w:vAlign w:val="bottom"/>
            <w:hideMark/>
          </w:tcPr>
          <w:p w14:paraId="5CF65124" w14:textId="77777777" w:rsidR="00DC38CF" w:rsidRDefault="00DC38CF" w:rsidP="0021095F">
            <w:pPr>
              <w:ind w:right="-57"/>
              <w:jc w:val="right"/>
              <w:rPr>
                <w:rFonts w:ascii="Calibri Light" w:hAnsi="Calibri Light" w:cs="Arial"/>
                <w:sz w:val="22"/>
                <w:szCs w:val="22"/>
              </w:rPr>
            </w:pPr>
            <w:r>
              <w:rPr>
                <w:rFonts w:ascii="Calibri Light" w:hAnsi="Calibri Light" w:cs="Arial"/>
                <w:color w:val="FF0000"/>
                <w:sz w:val="22"/>
                <w:szCs w:val="22"/>
              </w:rPr>
              <w:t>(80,771)</w:t>
            </w:r>
          </w:p>
        </w:tc>
      </w:tr>
      <w:tr w:rsidR="004D1F74" w14:paraId="3A09E5CD" w14:textId="77777777" w:rsidTr="0002742D">
        <w:trPr>
          <w:trHeight w:val="120"/>
        </w:trPr>
        <w:tc>
          <w:tcPr>
            <w:tcW w:w="1507" w:type="pct"/>
            <w:tcBorders>
              <w:top w:val="nil"/>
              <w:left w:val="nil"/>
              <w:bottom w:val="nil"/>
              <w:right w:val="nil"/>
            </w:tcBorders>
            <w:shd w:val="clear" w:color="auto" w:fill="auto"/>
            <w:noWrap/>
            <w:vAlign w:val="bottom"/>
            <w:hideMark/>
          </w:tcPr>
          <w:p w14:paraId="6F36A583"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1E787845"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0EAAB547" w14:textId="77777777" w:rsidR="00DC38CF" w:rsidRDefault="00DC38CF" w:rsidP="0021095F">
            <w:pPr>
              <w:ind w:right="-57"/>
              <w:jc w:val="right"/>
              <w:rPr>
                <w:sz w:val="20"/>
                <w:szCs w:val="20"/>
              </w:rPr>
            </w:pPr>
          </w:p>
        </w:tc>
        <w:tc>
          <w:tcPr>
            <w:tcW w:w="118" w:type="pct"/>
            <w:tcBorders>
              <w:top w:val="nil"/>
              <w:left w:val="nil"/>
              <w:bottom w:val="nil"/>
              <w:right w:val="nil"/>
            </w:tcBorders>
            <w:shd w:val="clear" w:color="auto" w:fill="auto"/>
            <w:noWrap/>
            <w:vAlign w:val="bottom"/>
            <w:hideMark/>
          </w:tcPr>
          <w:p w14:paraId="45F91FD6"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014733AE"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23965302"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58FB416D" w14:textId="77777777" w:rsidR="00DC38CF" w:rsidRDefault="00DC38CF" w:rsidP="00DC38CF">
            <w:pPr>
              <w:jc w:val="right"/>
              <w:rPr>
                <w:sz w:val="20"/>
                <w:szCs w:val="20"/>
              </w:rPr>
            </w:pPr>
          </w:p>
        </w:tc>
      </w:tr>
      <w:tr w:rsidR="004D1F74" w14:paraId="26F0DAF8" w14:textId="77777777" w:rsidTr="0002742D">
        <w:trPr>
          <w:trHeight w:val="300"/>
        </w:trPr>
        <w:tc>
          <w:tcPr>
            <w:tcW w:w="1507" w:type="pct"/>
            <w:tcBorders>
              <w:top w:val="nil"/>
              <w:left w:val="nil"/>
              <w:bottom w:val="nil"/>
              <w:right w:val="nil"/>
            </w:tcBorders>
            <w:shd w:val="clear" w:color="auto" w:fill="auto"/>
            <w:noWrap/>
            <w:vAlign w:val="bottom"/>
            <w:hideMark/>
          </w:tcPr>
          <w:p w14:paraId="28C1BA8C" w14:textId="7D8111C3" w:rsidR="00DC38CF" w:rsidRDefault="004D1F74">
            <w:pPr>
              <w:rPr>
                <w:rFonts w:ascii="Calibri Light" w:hAnsi="Calibri Light" w:cs="Arial"/>
                <w:b/>
                <w:bCs/>
                <w:sz w:val="22"/>
                <w:szCs w:val="22"/>
              </w:rPr>
            </w:pPr>
            <w:r>
              <w:rPr>
                <w:rFonts w:ascii="Calibri Light" w:hAnsi="Calibri Light" w:cs="Arial"/>
                <w:b/>
                <w:bCs/>
                <w:sz w:val="22"/>
                <w:szCs w:val="22"/>
              </w:rPr>
              <w:t>PROFIT</w:t>
            </w:r>
            <w:r w:rsidR="00DC38CF">
              <w:rPr>
                <w:rFonts w:ascii="Calibri Light" w:hAnsi="Calibri Light" w:cs="Arial"/>
                <w:b/>
                <w:bCs/>
                <w:sz w:val="22"/>
                <w:szCs w:val="22"/>
              </w:rPr>
              <w:t xml:space="preserve"> BEFORE INCOME TAX</w:t>
            </w:r>
          </w:p>
        </w:tc>
        <w:tc>
          <w:tcPr>
            <w:tcW w:w="424" w:type="pct"/>
            <w:tcBorders>
              <w:top w:val="nil"/>
              <w:left w:val="nil"/>
              <w:bottom w:val="nil"/>
              <w:right w:val="nil"/>
            </w:tcBorders>
            <w:shd w:val="clear" w:color="auto" w:fill="auto"/>
            <w:noWrap/>
            <w:vAlign w:val="bottom"/>
            <w:hideMark/>
          </w:tcPr>
          <w:p w14:paraId="2B1E54DE" w14:textId="77777777" w:rsidR="00DC38CF" w:rsidRDefault="00DC38CF">
            <w:pPr>
              <w:rPr>
                <w:rFonts w:ascii="Calibri Light" w:hAnsi="Calibri Light" w:cs="Arial"/>
                <w:b/>
                <w:bCs/>
                <w:sz w:val="22"/>
                <w:szCs w:val="22"/>
              </w:rPr>
            </w:pPr>
          </w:p>
        </w:tc>
        <w:tc>
          <w:tcPr>
            <w:tcW w:w="1275" w:type="pct"/>
            <w:tcBorders>
              <w:top w:val="nil"/>
              <w:left w:val="nil"/>
              <w:bottom w:val="nil"/>
              <w:right w:val="nil"/>
            </w:tcBorders>
            <w:shd w:val="clear" w:color="auto" w:fill="auto"/>
            <w:noWrap/>
            <w:vAlign w:val="bottom"/>
            <w:hideMark/>
          </w:tcPr>
          <w:p w14:paraId="45AA917B" w14:textId="5B936810" w:rsidR="00DC38CF" w:rsidRDefault="00C214DB" w:rsidP="0021095F">
            <w:pPr>
              <w:ind w:right="-57"/>
              <w:jc w:val="right"/>
              <w:rPr>
                <w:rFonts w:ascii="Calibri Light" w:hAnsi="Calibri Light" w:cs="Arial"/>
                <w:sz w:val="22"/>
                <w:szCs w:val="22"/>
              </w:rPr>
            </w:pPr>
            <w:r>
              <w:rPr>
                <w:rFonts w:ascii="Calibri Light" w:hAnsi="Calibri Light" w:cs="Arial"/>
                <w:sz w:val="22"/>
                <w:szCs w:val="22"/>
              </w:rPr>
              <w:t>7,032,353</w:t>
            </w:r>
          </w:p>
        </w:tc>
        <w:tc>
          <w:tcPr>
            <w:tcW w:w="118" w:type="pct"/>
            <w:tcBorders>
              <w:top w:val="nil"/>
              <w:left w:val="nil"/>
              <w:bottom w:val="nil"/>
              <w:right w:val="nil"/>
            </w:tcBorders>
            <w:shd w:val="clear" w:color="auto" w:fill="auto"/>
            <w:noWrap/>
            <w:vAlign w:val="bottom"/>
            <w:hideMark/>
          </w:tcPr>
          <w:p w14:paraId="3B9BE471" w14:textId="77777777" w:rsidR="00DC38CF" w:rsidRDefault="00DC38CF" w:rsidP="00DC38CF">
            <w:pPr>
              <w:jc w:val="right"/>
              <w:rPr>
                <w:rFonts w:ascii="Calibri Light" w:hAnsi="Calibri Light" w:cs="Arial"/>
                <w:sz w:val="22"/>
                <w:szCs w:val="22"/>
              </w:rPr>
            </w:pPr>
          </w:p>
        </w:tc>
        <w:tc>
          <w:tcPr>
            <w:tcW w:w="706" w:type="pct"/>
            <w:tcBorders>
              <w:top w:val="nil"/>
              <w:left w:val="nil"/>
              <w:bottom w:val="nil"/>
              <w:right w:val="nil"/>
            </w:tcBorders>
            <w:shd w:val="clear" w:color="auto" w:fill="auto"/>
            <w:noWrap/>
            <w:vAlign w:val="bottom"/>
            <w:hideMark/>
          </w:tcPr>
          <w:p w14:paraId="669784D6"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129,356</w:t>
            </w:r>
          </w:p>
        </w:tc>
        <w:tc>
          <w:tcPr>
            <w:tcW w:w="118" w:type="pct"/>
            <w:tcBorders>
              <w:top w:val="nil"/>
              <w:left w:val="nil"/>
              <w:bottom w:val="nil"/>
              <w:right w:val="nil"/>
            </w:tcBorders>
            <w:shd w:val="clear" w:color="auto" w:fill="auto"/>
            <w:noWrap/>
            <w:vAlign w:val="bottom"/>
            <w:hideMark/>
          </w:tcPr>
          <w:p w14:paraId="5DCFF203" w14:textId="77777777" w:rsidR="00DC38CF" w:rsidRDefault="00DC38CF" w:rsidP="00DC38CF">
            <w:pPr>
              <w:jc w:val="right"/>
              <w:rPr>
                <w:rFonts w:ascii="Calibri Light" w:hAnsi="Calibri Light" w:cs="Arial"/>
                <w:sz w:val="22"/>
                <w:szCs w:val="22"/>
              </w:rPr>
            </w:pPr>
          </w:p>
        </w:tc>
        <w:tc>
          <w:tcPr>
            <w:tcW w:w="852" w:type="pct"/>
            <w:tcBorders>
              <w:top w:val="nil"/>
              <w:left w:val="nil"/>
              <w:bottom w:val="nil"/>
              <w:right w:val="nil"/>
            </w:tcBorders>
            <w:shd w:val="clear" w:color="auto" w:fill="auto"/>
            <w:noWrap/>
            <w:vAlign w:val="bottom"/>
            <w:hideMark/>
          </w:tcPr>
          <w:p w14:paraId="0D8448FD"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2,300,190 </w:t>
            </w:r>
          </w:p>
        </w:tc>
      </w:tr>
      <w:tr w:rsidR="004D1F74" w14:paraId="13B46429" w14:textId="77777777" w:rsidTr="0002742D">
        <w:trPr>
          <w:trHeight w:val="120"/>
        </w:trPr>
        <w:tc>
          <w:tcPr>
            <w:tcW w:w="1507" w:type="pct"/>
            <w:tcBorders>
              <w:top w:val="nil"/>
              <w:left w:val="nil"/>
              <w:bottom w:val="nil"/>
              <w:right w:val="nil"/>
            </w:tcBorders>
            <w:shd w:val="clear" w:color="auto" w:fill="auto"/>
            <w:noWrap/>
            <w:vAlign w:val="bottom"/>
            <w:hideMark/>
          </w:tcPr>
          <w:p w14:paraId="010D1365" w14:textId="77777777" w:rsidR="00DC38CF" w:rsidRDefault="00DC38CF">
            <w:pPr>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6DADBF1D"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3D89A8EF"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65229F54"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7C4756CB"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57D99E8F"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52A4B4AE" w14:textId="77777777" w:rsidR="00DC38CF" w:rsidRDefault="00DC38CF" w:rsidP="00DC38CF">
            <w:pPr>
              <w:jc w:val="right"/>
              <w:rPr>
                <w:sz w:val="20"/>
                <w:szCs w:val="20"/>
              </w:rPr>
            </w:pPr>
          </w:p>
        </w:tc>
      </w:tr>
      <w:tr w:rsidR="004D1F74" w14:paraId="5423A0F3" w14:textId="77777777" w:rsidTr="0002742D">
        <w:trPr>
          <w:trHeight w:val="300"/>
        </w:trPr>
        <w:tc>
          <w:tcPr>
            <w:tcW w:w="1507" w:type="pct"/>
            <w:tcBorders>
              <w:top w:val="nil"/>
              <w:left w:val="nil"/>
              <w:bottom w:val="nil"/>
              <w:right w:val="nil"/>
            </w:tcBorders>
            <w:shd w:val="clear" w:color="auto" w:fill="auto"/>
            <w:noWrap/>
            <w:vAlign w:val="bottom"/>
            <w:hideMark/>
          </w:tcPr>
          <w:p w14:paraId="0A73306C" w14:textId="77777777" w:rsidR="00DC38CF" w:rsidRDefault="00DC38CF">
            <w:pPr>
              <w:rPr>
                <w:rFonts w:ascii="Calibri Light" w:hAnsi="Calibri Light" w:cs="Arial"/>
                <w:sz w:val="22"/>
                <w:szCs w:val="22"/>
              </w:rPr>
            </w:pPr>
            <w:r>
              <w:rPr>
                <w:rFonts w:ascii="Calibri Light" w:hAnsi="Calibri Light" w:cs="Arial"/>
                <w:sz w:val="22"/>
                <w:szCs w:val="22"/>
              </w:rPr>
              <w:t xml:space="preserve">Income tax </w:t>
            </w:r>
          </w:p>
        </w:tc>
        <w:tc>
          <w:tcPr>
            <w:tcW w:w="424" w:type="pct"/>
            <w:tcBorders>
              <w:top w:val="nil"/>
              <w:left w:val="nil"/>
              <w:bottom w:val="nil"/>
              <w:right w:val="nil"/>
            </w:tcBorders>
            <w:shd w:val="clear" w:color="auto" w:fill="auto"/>
            <w:noWrap/>
            <w:vAlign w:val="bottom"/>
            <w:hideMark/>
          </w:tcPr>
          <w:p w14:paraId="00154334" w14:textId="77777777" w:rsidR="00DC38CF" w:rsidRDefault="00DC38CF">
            <w:pPr>
              <w:rPr>
                <w:rFonts w:ascii="Calibri Light" w:hAnsi="Calibri Light" w:cs="Arial"/>
                <w:sz w:val="22"/>
                <w:szCs w:val="22"/>
              </w:rPr>
            </w:pPr>
          </w:p>
        </w:tc>
        <w:tc>
          <w:tcPr>
            <w:tcW w:w="1275" w:type="pct"/>
            <w:tcBorders>
              <w:top w:val="nil"/>
              <w:left w:val="nil"/>
              <w:bottom w:val="single" w:sz="4" w:space="0" w:color="auto"/>
              <w:right w:val="nil"/>
            </w:tcBorders>
            <w:shd w:val="clear" w:color="auto" w:fill="auto"/>
            <w:noWrap/>
            <w:vAlign w:val="bottom"/>
            <w:hideMark/>
          </w:tcPr>
          <w:p w14:paraId="4ABFDC8F" w14:textId="410C2254" w:rsidR="00DC38CF" w:rsidRDefault="00CC2228" w:rsidP="00DC38CF">
            <w:pPr>
              <w:jc w:val="right"/>
              <w:rPr>
                <w:rFonts w:ascii="Calibri Light" w:hAnsi="Calibri Light" w:cs="Arial"/>
                <w:sz w:val="22"/>
                <w:szCs w:val="22"/>
              </w:rPr>
            </w:pPr>
            <w:r>
              <w:rPr>
                <w:rFonts w:ascii="Calibri Light" w:hAnsi="Calibri Light" w:cs="Arial"/>
                <w:color w:val="FF0000"/>
                <w:sz w:val="22"/>
                <w:szCs w:val="22"/>
              </w:rPr>
              <w:t>(1,911</w:t>
            </w:r>
            <w:r w:rsidR="00DC2832">
              <w:rPr>
                <w:rFonts w:ascii="Calibri Light" w:hAnsi="Calibri Light" w:cs="Arial"/>
                <w:color w:val="FF0000"/>
                <w:sz w:val="22"/>
                <w:szCs w:val="22"/>
              </w:rPr>
              <w:t>,945</w:t>
            </w:r>
            <w:r>
              <w:rPr>
                <w:rFonts w:ascii="Calibri Light" w:hAnsi="Calibri Light" w:cs="Arial"/>
                <w:color w:val="FF0000"/>
                <w:sz w:val="22"/>
                <w:szCs w:val="22"/>
              </w:rPr>
              <w:t>)</w:t>
            </w:r>
          </w:p>
        </w:tc>
        <w:tc>
          <w:tcPr>
            <w:tcW w:w="118" w:type="pct"/>
            <w:tcBorders>
              <w:top w:val="nil"/>
              <w:left w:val="nil"/>
              <w:bottom w:val="nil"/>
              <w:right w:val="nil"/>
            </w:tcBorders>
            <w:shd w:val="clear" w:color="auto" w:fill="auto"/>
            <w:noWrap/>
            <w:vAlign w:val="bottom"/>
            <w:hideMark/>
          </w:tcPr>
          <w:p w14:paraId="3D7D3C68" w14:textId="77777777" w:rsidR="00DC38CF" w:rsidRDefault="00DC38CF" w:rsidP="00DC38CF">
            <w:pPr>
              <w:jc w:val="right"/>
              <w:rPr>
                <w:rFonts w:ascii="Calibri Light" w:hAnsi="Calibri Light" w:cs="Arial"/>
                <w:sz w:val="22"/>
                <w:szCs w:val="22"/>
              </w:rPr>
            </w:pPr>
          </w:p>
        </w:tc>
        <w:tc>
          <w:tcPr>
            <w:tcW w:w="706" w:type="pct"/>
            <w:tcBorders>
              <w:top w:val="nil"/>
              <w:left w:val="nil"/>
              <w:bottom w:val="single" w:sz="4" w:space="0" w:color="auto"/>
              <w:right w:val="nil"/>
            </w:tcBorders>
            <w:shd w:val="clear" w:color="auto" w:fill="auto"/>
            <w:noWrap/>
            <w:vAlign w:val="bottom"/>
            <w:hideMark/>
          </w:tcPr>
          <w:p w14:paraId="08833CD3" w14:textId="29C48C4F"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   </w:t>
            </w:r>
          </w:p>
        </w:tc>
        <w:tc>
          <w:tcPr>
            <w:tcW w:w="118" w:type="pct"/>
            <w:tcBorders>
              <w:top w:val="nil"/>
              <w:left w:val="nil"/>
              <w:bottom w:val="nil"/>
              <w:right w:val="nil"/>
            </w:tcBorders>
            <w:shd w:val="clear" w:color="auto" w:fill="auto"/>
            <w:noWrap/>
            <w:vAlign w:val="bottom"/>
            <w:hideMark/>
          </w:tcPr>
          <w:p w14:paraId="2DC1125E" w14:textId="77777777" w:rsidR="00DC38CF" w:rsidRDefault="00DC38CF" w:rsidP="00DC38CF">
            <w:pPr>
              <w:jc w:val="right"/>
              <w:rPr>
                <w:rFonts w:ascii="Calibri Light" w:hAnsi="Calibri Light" w:cs="Arial"/>
                <w:sz w:val="22"/>
                <w:szCs w:val="22"/>
              </w:rPr>
            </w:pPr>
          </w:p>
        </w:tc>
        <w:tc>
          <w:tcPr>
            <w:tcW w:w="852" w:type="pct"/>
            <w:tcBorders>
              <w:top w:val="nil"/>
              <w:left w:val="nil"/>
              <w:bottom w:val="single" w:sz="4" w:space="0" w:color="auto"/>
              <w:right w:val="nil"/>
            </w:tcBorders>
            <w:shd w:val="clear" w:color="auto" w:fill="auto"/>
            <w:noWrap/>
            <w:vAlign w:val="bottom"/>
            <w:hideMark/>
          </w:tcPr>
          <w:p w14:paraId="62EA5DF6" w14:textId="77777777" w:rsidR="00DC38CF" w:rsidRDefault="00DC38CF" w:rsidP="00012240">
            <w:pPr>
              <w:ind w:right="-57"/>
              <w:jc w:val="right"/>
              <w:rPr>
                <w:rFonts w:ascii="Calibri Light" w:hAnsi="Calibri Light" w:cs="Arial"/>
                <w:sz w:val="22"/>
                <w:szCs w:val="22"/>
              </w:rPr>
            </w:pPr>
            <w:r>
              <w:rPr>
                <w:rFonts w:ascii="Calibri Light" w:hAnsi="Calibri Light" w:cs="Arial"/>
                <w:color w:val="FF0000"/>
                <w:sz w:val="22"/>
                <w:szCs w:val="22"/>
              </w:rPr>
              <w:t>(40,394)</w:t>
            </w:r>
          </w:p>
        </w:tc>
      </w:tr>
      <w:tr w:rsidR="004D1F74" w14:paraId="77F1899F" w14:textId="77777777" w:rsidTr="0002742D">
        <w:trPr>
          <w:trHeight w:val="120"/>
        </w:trPr>
        <w:tc>
          <w:tcPr>
            <w:tcW w:w="1507" w:type="pct"/>
            <w:tcBorders>
              <w:top w:val="nil"/>
              <w:left w:val="nil"/>
              <w:bottom w:val="nil"/>
              <w:right w:val="nil"/>
            </w:tcBorders>
            <w:shd w:val="clear" w:color="auto" w:fill="auto"/>
            <w:noWrap/>
            <w:vAlign w:val="bottom"/>
            <w:hideMark/>
          </w:tcPr>
          <w:p w14:paraId="75E26A68"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0A1919B6"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7FFC0D64"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039AB0F7"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60839C1D"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34090111"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587ABEAB" w14:textId="77777777" w:rsidR="00DC38CF" w:rsidRDefault="00DC38CF" w:rsidP="00DC38CF">
            <w:pPr>
              <w:jc w:val="right"/>
              <w:rPr>
                <w:sz w:val="20"/>
                <w:szCs w:val="20"/>
              </w:rPr>
            </w:pPr>
          </w:p>
        </w:tc>
      </w:tr>
      <w:tr w:rsidR="004D1F74" w14:paraId="59F6E564" w14:textId="77777777" w:rsidTr="0002742D">
        <w:trPr>
          <w:trHeight w:val="915"/>
        </w:trPr>
        <w:tc>
          <w:tcPr>
            <w:tcW w:w="1507" w:type="pct"/>
            <w:tcBorders>
              <w:top w:val="nil"/>
              <w:left w:val="nil"/>
              <w:bottom w:val="nil"/>
              <w:right w:val="nil"/>
            </w:tcBorders>
            <w:shd w:val="clear" w:color="auto" w:fill="auto"/>
            <w:vAlign w:val="bottom"/>
            <w:hideMark/>
          </w:tcPr>
          <w:p w14:paraId="0839A15C" w14:textId="3A463E67" w:rsidR="00DC38CF" w:rsidRDefault="004D1F74">
            <w:pPr>
              <w:rPr>
                <w:rFonts w:ascii="Calibri Light" w:hAnsi="Calibri Light" w:cs="Arial"/>
                <w:b/>
                <w:bCs/>
                <w:sz w:val="22"/>
                <w:szCs w:val="22"/>
              </w:rPr>
            </w:pPr>
            <w:r>
              <w:rPr>
                <w:rFonts w:ascii="Calibri Light" w:hAnsi="Calibri Light" w:cs="Arial"/>
                <w:b/>
                <w:bCs/>
                <w:sz w:val="22"/>
                <w:szCs w:val="22"/>
              </w:rPr>
              <w:t>PROFIT</w:t>
            </w:r>
            <w:r w:rsidR="00DC38CF">
              <w:rPr>
                <w:rFonts w:ascii="Calibri Light" w:hAnsi="Calibri Light" w:cs="Arial"/>
                <w:b/>
                <w:bCs/>
                <w:sz w:val="22"/>
                <w:szCs w:val="22"/>
              </w:rPr>
              <w:t xml:space="preserve"> AND TOTAL COMPREHENSIVE </w:t>
            </w:r>
            <w:r>
              <w:rPr>
                <w:rFonts w:ascii="Calibri Light" w:hAnsi="Calibri Light" w:cs="Arial"/>
                <w:b/>
                <w:bCs/>
                <w:sz w:val="22"/>
                <w:szCs w:val="22"/>
              </w:rPr>
              <w:t>PROFIT</w:t>
            </w:r>
            <w:r w:rsidR="00DC38CF">
              <w:rPr>
                <w:rFonts w:ascii="Calibri Light" w:hAnsi="Calibri Light" w:cs="Arial"/>
                <w:b/>
                <w:bCs/>
                <w:sz w:val="22"/>
                <w:szCs w:val="22"/>
              </w:rPr>
              <w:t xml:space="preserve"> FOR THE PERIOD </w:t>
            </w:r>
          </w:p>
        </w:tc>
        <w:tc>
          <w:tcPr>
            <w:tcW w:w="424" w:type="pct"/>
            <w:tcBorders>
              <w:top w:val="nil"/>
              <w:left w:val="nil"/>
              <w:bottom w:val="nil"/>
              <w:right w:val="nil"/>
            </w:tcBorders>
            <w:shd w:val="clear" w:color="auto" w:fill="auto"/>
            <w:noWrap/>
            <w:vAlign w:val="bottom"/>
            <w:hideMark/>
          </w:tcPr>
          <w:p w14:paraId="25EFFEFF" w14:textId="77777777" w:rsidR="00DC38CF" w:rsidRDefault="00DC38CF">
            <w:pPr>
              <w:rPr>
                <w:rFonts w:ascii="Calibri Light" w:hAnsi="Calibri Light" w:cs="Arial"/>
                <w:b/>
                <w:bCs/>
                <w:sz w:val="22"/>
                <w:szCs w:val="22"/>
              </w:rPr>
            </w:pPr>
          </w:p>
        </w:tc>
        <w:tc>
          <w:tcPr>
            <w:tcW w:w="1275" w:type="pct"/>
            <w:tcBorders>
              <w:top w:val="nil"/>
              <w:left w:val="nil"/>
              <w:bottom w:val="double" w:sz="6" w:space="0" w:color="auto"/>
              <w:right w:val="nil"/>
            </w:tcBorders>
            <w:shd w:val="clear" w:color="auto" w:fill="auto"/>
            <w:noWrap/>
            <w:vAlign w:val="bottom"/>
            <w:hideMark/>
          </w:tcPr>
          <w:p w14:paraId="03163570" w14:textId="33D4B94E" w:rsidR="00DC38CF" w:rsidRDefault="00DC2832" w:rsidP="004D1F74">
            <w:pPr>
              <w:ind w:right="-57"/>
              <w:jc w:val="right"/>
              <w:rPr>
                <w:rFonts w:ascii="Calibri Light" w:hAnsi="Calibri Light" w:cs="Arial"/>
                <w:sz w:val="22"/>
                <w:szCs w:val="22"/>
              </w:rPr>
            </w:pPr>
            <w:r>
              <w:rPr>
                <w:rFonts w:ascii="Calibri Light" w:hAnsi="Calibri Light" w:cs="Arial"/>
                <w:sz w:val="22"/>
                <w:szCs w:val="22"/>
              </w:rPr>
              <w:t>5,120,408</w:t>
            </w:r>
          </w:p>
        </w:tc>
        <w:tc>
          <w:tcPr>
            <w:tcW w:w="118" w:type="pct"/>
            <w:tcBorders>
              <w:top w:val="nil"/>
              <w:left w:val="nil"/>
              <w:bottom w:val="nil"/>
              <w:right w:val="nil"/>
            </w:tcBorders>
            <w:shd w:val="clear" w:color="auto" w:fill="auto"/>
            <w:noWrap/>
            <w:vAlign w:val="bottom"/>
            <w:hideMark/>
          </w:tcPr>
          <w:p w14:paraId="060CB107" w14:textId="77777777" w:rsidR="00DC38CF" w:rsidRDefault="00DC38CF" w:rsidP="00DC38CF">
            <w:pPr>
              <w:jc w:val="right"/>
              <w:rPr>
                <w:rFonts w:ascii="Calibri Light" w:hAnsi="Calibri Light" w:cs="Arial"/>
                <w:sz w:val="22"/>
                <w:szCs w:val="22"/>
              </w:rPr>
            </w:pPr>
          </w:p>
        </w:tc>
        <w:tc>
          <w:tcPr>
            <w:tcW w:w="706" w:type="pct"/>
            <w:tcBorders>
              <w:top w:val="nil"/>
              <w:left w:val="nil"/>
              <w:bottom w:val="double" w:sz="6" w:space="0" w:color="auto"/>
              <w:right w:val="nil"/>
            </w:tcBorders>
            <w:shd w:val="clear" w:color="auto" w:fill="auto"/>
            <w:noWrap/>
            <w:vAlign w:val="bottom"/>
            <w:hideMark/>
          </w:tcPr>
          <w:p w14:paraId="2FF01AE2"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129,356</w:t>
            </w:r>
          </w:p>
        </w:tc>
        <w:tc>
          <w:tcPr>
            <w:tcW w:w="118" w:type="pct"/>
            <w:tcBorders>
              <w:top w:val="nil"/>
              <w:left w:val="nil"/>
              <w:bottom w:val="nil"/>
              <w:right w:val="nil"/>
            </w:tcBorders>
            <w:shd w:val="clear" w:color="auto" w:fill="auto"/>
            <w:noWrap/>
            <w:vAlign w:val="bottom"/>
            <w:hideMark/>
          </w:tcPr>
          <w:p w14:paraId="2944298F" w14:textId="77777777" w:rsidR="00DC38CF" w:rsidRDefault="00DC38CF" w:rsidP="00DC38CF">
            <w:pPr>
              <w:jc w:val="right"/>
              <w:rPr>
                <w:rFonts w:ascii="Calibri Light" w:hAnsi="Calibri Light" w:cs="Arial"/>
                <w:sz w:val="22"/>
                <w:szCs w:val="22"/>
              </w:rPr>
            </w:pPr>
          </w:p>
        </w:tc>
        <w:tc>
          <w:tcPr>
            <w:tcW w:w="852" w:type="pct"/>
            <w:tcBorders>
              <w:top w:val="nil"/>
              <w:left w:val="nil"/>
              <w:bottom w:val="double" w:sz="6" w:space="0" w:color="auto"/>
              <w:right w:val="nil"/>
            </w:tcBorders>
            <w:shd w:val="clear" w:color="auto" w:fill="auto"/>
            <w:noWrap/>
            <w:vAlign w:val="bottom"/>
            <w:hideMark/>
          </w:tcPr>
          <w:p w14:paraId="36FB18E5"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2,259,796</w:t>
            </w:r>
          </w:p>
        </w:tc>
      </w:tr>
      <w:tr w:rsidR="004D1F74" w14:paraId="6502AC74" w14:textId="77777777" w:rsidTr="0002742D">
        <w:trPr>
          <w:trHeight w:val="315"/>
        </w:trPr>
        <w:tc>
          <w:tcPr>
            <w:tcW w:w="1507" w:type="pct"/>
            <w:tcBorders>
              <w:top w:val="nil"/>
              <w:left w:val="nil"/>
              <w:bottom w:val="nil"/>
              <w:right w:val="nil"/>
            </w:tcBorders>
            <w:shd w:val="clear" w:color="auto" w:fill="auto"/>
            <w:vAlign w:val="bottom"/>
            <w:hideMark/>
          </w:tcPr>
          <w:p w14:paraId="6FCB078A"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5AED2DA5" w14:textId="77777777" w:rsidR="00DC38CF" w:rsidRDefault="00DC38CF">
            <w:pPr>
              <w:rPr>
                <w:sz w:val="20"/>
                <w:szCs w:val="20"/>
              </w:rPr>
            </w:pPr>
          </w:p>
        </w:tc>
        <w:tc>
          <w:tcPr>
            <w:tcW w:w="1275" w:type="pct"/>
            <w:tcBorders>
              <w:top w:val="nil"/>
              <w:left w:val="nil"/>
              <w:bottom w:val="nil"/>
              <w:right w:val="nil"/>
            </w:tcBorders>
            <w:shd w:val="clear" w:color="auto" w:fill="auto"/>
            <w:noWrap/>
            <w:vAlign w:val="bottom"/>
            <w:hideMark/>
          </w:tcPr>
          <w:p w14:paraId="57FCFE2A" w14:textId="77777777" w:rsidR="00DC38CF" w:rsidRDefault="00DC38CF" w:rsidP="004D1F74">
            <w:pPr>
              <w:ind w:right="-57"/>
              <w:jc w:val="right"/>
              <w:rPr>
                <w:sz w:val="20"/>
                <w:szCs w:val="20"/>
              </w:rPr>
            </w:pPr>
          </w:p>
        </w:tc>
        <w:tc>
          <w:tcPr>
            <w:tcW w:w="118" w:type="pct"/>
            <w:tcBorders>
              <w:top w:val="nil"/>
              <w:left w:val="nil"/>
              <w:bottom w:val="nil"/>
              <w:right w:val="nil"/>
            </w:tcBorders>
            <w:shd w:val="clear" w:color="auto" w:fill="auto"/>
            <w:noWrap/>
            <w:vAlign w:val="bottom"/>
            <w:hideMark/>
          </w:tcPr>
          <w:p w14:paraId="1FAF6854"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2742148A"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2D1ACA8D"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77D94395" w14:textId="77777777" w:rsidR="00DC38CF" w:rsidRDefault="00DC38CF" w:rsidP="00DC38CF">
            <w:pPr>
              <w:jc w:val="right"/>
              <w:rPr>
                <w:sz w:val="20"/>
                <w:szCs w:val="20"/>
              </w:rPr>
            </w:pPr>
          </w:p>
        </w:tc>
      </w:tr>
      <w:tr w:rsidR="004D1F74" w14:paraId="14660DB3" w14:textId="77777777" w:rsidTr="0002742D">
        <w:trPr>
          <w:trHeight w:val="300"/>
        </w:trPr>
        <w:tc>
          <w:tcPr>
            <w:tcW w:w="1507" w:type="pct"/>
            <w:tcBorders>
              <w:top w:val="nil"/>
              <w:left w:val="nil"/>
              <w:bottom w:val="nil"/>
              <w:right w:val="nil"/>
            </w:tcBorders>
            <w:shd w:val="clear" w:color="auto" w:fill="auto"/>
            <w:noWrap/>
            <w:vAlign w:val="bottom"/>
            <w:hideMark/>
          </w:tcPr>
          <w:p w14:paraId="329ECBC3" w14:textId="404F0C7B" w:rsidR="00DC38CF" w:rsidRDefault="00DC2832">
            <w:pPr>
              <w:rPr>
                <w:rFonts w:ascii="Calibri Light" w:hAnsi="Calibri Light" w:cs="Arial"/>
                <w:b/>
                <w:bCs/>
                <w:sz w:val="22"/>
                <w:szCs w:val="22"/>
              </w:rPr>
            </w:pPr>
            <w:r>
              <w:rPr>
                <w:rFonts w:ascii="Calibri Light" w:hAnsi="Calibri Light" w:cs="Arial"/>
                <w:b/>
                <w:bCs/>
                <w:sz w:val="22"/>
                <w:szCs w:val="22"/>
              </w:rPr>
              <w:t>E</w:t>
            </w:r>
            <w:r w:rsidR="004D1F74">
              <w:rPr>
                <w:rFonts w:ascii="Calibri Light" w:hAnsi="Calibri Light" w:cs="Arial"/>
                <w:b/>
                <w:bCs/>
                <w:sz w:val="22"/>
                <w:szCs w:val="22"/>
              </w:rPr>
              <w:t>arnings</w:t>
            </w:r>
            <w:r w:rsidR="00DC38CF">
              <w:rPr>
                <w:rFonts w:ascii="Calibri Light" w:hAnsi="Calibri Light" w:cs="Arial"/>
                <w:b/>
                <w:bCs/>
                <w:sz w:val="22"/>
                <w:szCs w:val="22"/>
              </w:rPr>
              <w:t xml:space="preserve"> per share</w:t>
            </w:r>
          </w:p>
        </w:tc>
        <w:tc>
          <w:tcPr>
            <w:tcW w:w="424" w:type="pct"/>
            <w:tcBorders>
              <w:top w:val="nil"/>
              <w:left w:val="nil"/>
              <w:bottom w:val="nil"/>
              <w:right w:val="nil"/>
            </w:tcBorders>
            <w:shd w:val="clear" w:color="auto" w:fill="auto"/>
            <w:noWrap/>
            <w:vAlign w:val="bottom"/>
            <w:hideMark/>
          </w:tcPr>
          <w:p w14:paraId="10FBC7B7" w14:textId="77777777" w:rsidR="00DC38CF" w:rsidRDefault="00DC38CF">
            <w:pPr>
              <w:rPr>
                <w:rFonts w:ascii="Calibri Light" w:hAnsi="Calibri Light" w:cs="Arial"/>
                <w:b/>
                <w:bCs/>
                <w:sz w:val="22"/>
                <w:szCs w:val="22"/>
              </w:rPr>
            </w:pPr>
          </w:p>
        </w:tc>
        <w:tc>
          <w:tcPr>
            <w:tcW w:w="1275" w:type="pct"/>
            <w:tcBorders>
              <w:top w:val="nil"/>
              <w:left w:val="nil"/>
              <w:bottom w:val="nil"/>
              <w:right w:val="nil"/>
            </w:tcBorders>
            <w:shd w:val="clear" w:color="auto" w:fill="auto"/>
            <w:noWrap/>
            <w:vAlign w:val="bottom"/>
            <w:hideMark/>
          </w:tcPr>
          <w:p w14:paraId="26298316" w14:textId="77777777" w:rsidR="00DC38CF" w:rsidRDefault="00DC38CF" w:rsidP="004D1F74">
            <w:pPr>
              <w:ind w:right="-57"/>
              <w:jc w:val="right"/>
              <w:rPr>
                <w:sz w:val="20"/>
                <w:szCs w:val="20"/>
              </w:rPr>
            </w:pPr>
          </w:p>
        </w:tc>
        <w:tc>
          <w:tcPr>
            <w:tcW w:w="118" w:type="pct"/>
            <w:tcBorders>
              <w:top w:val="nil"/>
              <w:left w:val="nil"/>
              <w:bottom w:val="nil"/>
              <w:right w:val="nil"/>
            </w:tcBorders>
            <w:shd w:val="clear" w:color="auto" w:fill="auto"/>
            <w:noWrap/>
            <w:vAlign w:val="bottom"/>
            <w:hideMark/>
          </w:tcPr>
          <w:p w14:paraId="2196A109"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2AAC9908"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3A779BAD"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199C1889" w14:textId="77777777" w:rsidR="00DC38CF" w:rsidRDefault="00DC38CF" w:rsidP="00DC38CF">
            <w:pPr>
              <w:jc w:val="right"/>
              <w:rPr>
                <w:sz w:val="20"/>
                <w:szCs w:val="20"/>
              </w:rPr>
            </w:pPr>
          </w:p>
        </w:tc>
      </w:tr>
      <w:tr w:rsidR="004D1F74" w14:paraId="1165C5AF" w14:textId="77777777" w:rsidTr="0002742D">
        <w:trPr>
          <w:trHeight w:val="315"/>
        </w:trPr>
        <w:tc>
          <w:tcPr>
            <w:tcW w:w="1507" w:type="pct"/>
            <w:tcBorders>
              <w:top w:val="nil"/>
              <w:left w:val="nil"/>
              <w:bottom w:val="nil"/>
              <w:right w:val="nil"/>
            </w:tcBorders>
            <w:shd w:val="clear" w:color="auto" w:fill="auto"/>
            <w:noWrap/>
            <w:vAlign w:val="bottom"/>
            <w:hideMark/>
          </w:tcPr>
          <w:p w14:paraId="2A283BE8" w14:textId="77777777" w:rsidR="00DC38CF" w:rsidRDefault="00DC38CF">
            <w:pPr>
              <w:rPr>
                <w:rFonts w:ascii="Calibri Light" w:hAnsi="Calibri Light" w:cs="Arial"/>
                <w:sz w:val="22"/>
                <w:szCs w:val="22"/>
              </w:rPr>
            </w:pPr>
            <w:r>
              <w:rPr>
                <w:rFonts w:ascii="Calibri Light" w:hAnsi="Calibri Light" w:cs="Arial"/>
                <w:sz w:val="22"/>
                <w:szCs w:val="22"/>
              </w:rPr>
              <w:t>- Basic earnings</w:t>
            </w:r>
          </w:p>
        </w:tc>
        <w:tc>
          <w:tcPr>
            <w:tcW w:w="424" w:type="pct"/>
            <w:tcBorders>
              <w:top w:val="nil"/>
              <w:left w:val="nil"/>
              <w:bottom w:val="nil"/>
              <w:right w:val="nil"/>
            </w:tcBorders>
            <w:shd w:val="clear" w:color="auto" w:fill="auto"/>
            <w:noWrap/>
            <w:vAlign w:val="bottom"/>
            <w:hideMark/>
          </w:tcPr>
          <w:p w14:paraId="648F0FBE" w14:textId="152DDCAD" w:rsidR="00DC38CF" w:rsidRPr="00262A0E" w:rsidRDefault="00A752F6" w:rsidP="00262A0E">
            <w:pPr>
              <w:jc w:val="center"/>
              <w:rPr>
                <w:rFonts w:ascii="Calibri Light" w:hAnsi="Calibri Light" w:cs="Arial"/>
                <w:b/>
                <w:bCs/>
                <w:sz w:val="22"/>
                <w:szCs w:val="22"/>
              </w:rPr>
            </w:pPr>
            <w:r w:rsidRPr="00262A0E">
              <w:rPr>
                <w:rFonts w:ascii="Calibri Light" w:hAnsi="Calibri Light" w:cs="Arial"/>
                <w:b/>
                <w:bCs/>
                <w:sz w:val="22"/>
                <w:szCs w:val="22"/>
              </w:rPr>
              <w:t>4</w:t>
            </w:r>
          </w:p>
        </w:tc>
        <w:tc>
          <w:tcPr>
            <w:tcW w:w="1275" w:type="pct"/>
            <w:tcBorders>
              <w:top w:val="nil"/>
              <w:left w:val="nil"/>
              <w:bottom w:val="double" w:sz="6" w:space="0" w:color="auto"/>
              <w:right w:val="nil"/>
            </w:tcBorders>
            <w:shd w:val="clear" w:color="auto" w:fill="auto"/>
            <w:noWrap/>
            <w:vAlign w:val="bottom"/>
            <w:hideMark/>
          </w:tcPr>
          <w:p w14:paraId="5F5BCB68" w14:textId="339EA978" w:rsidR="00DC38CF" w:rsidRDefault="00DC2832" w:rsidP="004D1F74">
            <w:pPr>
              <w:ind w:right="-57"/>
              <w:jc w:val="right"/>
              <w:rPr>
                <w:rFonts w:ascii="Calibri Light" w:hAnsi="Calibri Light" w:cs="Arial"/>
                <w:sz w:val="22"/>
                <w:szCs w:val="22"/>
              </w:rPr>
            </w:pPr>
            <w:r>
              <w:rPr>
                <w:rFonts w:ascii="Calibri Light" w:hAnsi="Calibri Light" w:cs="Arial"/>
                <w:sz w:val="22"/>
                <w:szCs w:val="22"/>
              </w:rPr>
              <w:t>2.24p</w:t>
            </w:r>
          </w:p>
        </w:tc>
        <w:tc>
          <w:tcPr>
            <w:tcW w:w="118" w:type="pct"/>
            <w:tcBorders>
              <w:top w:val="nil"/>
              <w:left w:val="nil"/>
              <w:bottom w:val="nil"/>
              <w:right w:val="nil"/>
            </w:tcBorders>
            <w:shd w:val="clear" w:color="auto" w:fill="auto"/>
            <w:noWrap/>
            <w:vAlign w:val="bottom"/>
            <w:hideMark/>
          </w:tcPr>
          <w:p w14:paraId="5F973763" w14:textId="77777777" w:rsidR="00DC38CF" w:rsidRDefault="00DC38CF" w:rsidP="00DC38CF">
            <w:pPr>
              <w:jc w:val="right"/>
              <w:rPr>
                <w:rFonts w:ascii="Calibri Light" w:hAnsi="Calibri Light" w:cs="Arial"/>
                <w:sz w:val="22"/>
                <w:szCs w:val="22"/>
              </w:rPr>
            </w:pPr>
          </w:p>
        </w:tc>
        <w:tc>
          <w:tcPr>
            <w:tcW w:w="706" w:type="pct"/>
            <w:tcBorders>
              <w:top w:val="nil"/>
              <w:left w:val="nil"/>
              <w:bottom w:val="double" w:sz="6" w:space="0" w:color="auto"/>
              <w:right w:val="nil"/>
            </w:tcBorders>
            <w:shd w:val="clear" w:color="auto" w:fill="auto"/>
            <w:noWrap/>
            <w:vAlign w:val="bottom"/>
            <w:hideMark/>
          </w:tcPr>
          <w:p w14:paraId="4734AC4D"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0.11p</w:t>
            </w:r>
          </w:p>
        </w:tc>
        <w:tc>
          <w:tcPr>
            <w:tcW w:w="118" w:type="pct"/>
            <w:tcBorders>
              <w:top w:val="nil"/>
              <w:left w:val="nil"/>
              <w:bottom w:val="nil"/>
              <w:right w:val="nil"/>
            </w:tcBorders>
            <w:shd w:val="clear" w:color="auto" w:fill="auto"/>
            <w:noWrap/>
            <w:vAlign w:val="bottom"/>
            <w:hideMark/>
          </w:tcPr>
          <w:p w14:paraId="4AC2EFEC" w14:textId="77777777" w:rsidR="00DC38CF" w:rsidRDefault="00DC38CF" w:rsidP="00DC38CF">
            <w:pPr>
              <w:jc w:val="right"/>
              <w:rPr>
                <w:rFonts w:ascii="Calibri Light" w:hAnsi="Calibri Light" w:cs="Arial"/>
                <w:sz w:val="22"/>
                <w:szCs w:val="22"/>
              </w:rPr>
            </w:pPr>
          </w:p>
        </w:tc>
        <w:tc>
          <w:tcPr>
            <w:tcW w:w="852" w:type="pct"/>
            <w:tcBorders>
              <w:top w:val="nil"/>
              <w:left w:val="nil"/>
              <w:bottom w:val="double" w:sz="6" w:space="0" w:color="auto"/>
              <w:right w:val="nil"/>
            </w:tcBorders>
            <w:shd w:val="clear" w:color="auto" w:fill="auto"/>
            <w:noWrap/>
            <w:vAlign w:val="bottom"/>
            <w:hideMark/>
          </w:tcPr>
          <w:p w14:paraId="337B046E"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1.61p</w:t>
            </w:r>
          </w:p>
        </w:tc>
      </w:tr>
      <w:tr w:rsidR="004D1F74" w14:paraId="00A34779" w14:textId="77777777" w:rsidTr="0002742D">
        <w:trPr>
          <w:trHeight w:val="120"/>
        </w:trPr>
        <w:tc>
          <w:tcPr>
            <w:tcW w:w="1507" w:type="pct"/>
            <w:tcBorders>
              <w:top w:val="nil"/>
              <w:left w:val="nil"/>
              <w:bottom w:val="nil"/>
              <w:right w:val="nil"/>
            </w:tcBorders>
            <w:shd w:val="clear" w:color="auto" w:fill="auto"/>
            <w:noWrap/>
            <w:vAlign w:val="bottom"/>
            <w:hideMark/>
          </w:tcPr>
          <w:p w14:paraId="085D7643" w14:textId="77777777" w:rsidR="00DC38CF" w:rsidRDefault="00DC38CF">
            <w:pPr>
              <w:jc w:val="right"/>
              <w:rPr>
                <w:rFonts w:ascii="Calibri Light" w:hAnsi="Calibri Light" w:cs="Arial"/>
                <w:sz w:val="22"/>
                <w:szCs w:val="22"/>
              </w:rPr>
            </w:pPr>
          </w:p>
        </w:tc>
        <w:tc>
          <w:tcPr>
            <w:tcW w:w="424" w:type="pct"/>
            <w:tcBorders>
              <w:top w:val="nil"/>
              <w:left w:val="nil"/>
              <w:bottom w:val="nil"/>
              <w:right w:val="nil"/>
            </w:tcBorders>
            <w:shd w:val="clear" w:color="auto" w:fill="auto"/>
            <w:noWrap/>
            <w:vAlign w:val="bottom"/>
            <w:hideMark/>
          </w:tcPr>
          <w:p w14:paraId="048E97D9" w14:textId="77777777" w:rsidR="00DC38CF" w:rsidRPr="00262A0E" w:rsidRDefault="00DC38CF" w:rsidP="00262A0E">
            <w:pPr>
              <w:jc w:val="center"/>
              <w:rPr>
                <w:b/>
                <w:bCs/>
                <w:sz w:val="20"/>
                <w:szCs w:val="20"/>
              </w:rPr>
            </w:pPr>
          </w:p>
        </w:tc>
        <w:tc>
          <w:tcPr>
            <w:tcW w:w="1275" w:type="pct"/>
            <w:tcBorders>
              <w:top w:val="nil"/>
              <w:left w:val="nil"/>
              <w:bottom w:val="nil"/>
              <w:right w:val="nil"/>
            </w:tcBorders>
            <w:shd w:val="clear" w:color="auto" w:fill="auto"/>
            <w:noWrap/>
            <w:vAlign w:val="bottom"/>
            <w:hideMark/>
          </w:tcPr>
          <w:p w14:paraId="6D641973" w14:textId="77777777" w:rsidR="00DC38CF" w:rsidRDefault="00DC38CF" w:rsidP="004D1F74">
            <w:pPr>
              <w:ind w:right="-57"/>
              <w:jc w:val="right"/>
              <w:rPr>
                <w:sz w:val="20"/>
                <w:szCs w:val="20"/>
              </w:rPr>
            </w:pPr>
          </w:p>
        </w:tc>
        <w:tc>
          <w:tcPr>
            <w:tcW w:w="118" w:type="pct"/>
            <w:tcBorders>
              <w:top w:val="nil"/>
              <w:left w:val="nil"/>
              <w:bottom w:val="nil"/>
              <w:right w:val="nil"/>
            </w:tcBorders>
            <w:shd w:val="clear" w:color="auto" w:fill="auto"/>
            <w:noWrap/>
            <w:vAlign w:val="bottom"/>
            <w:hideMark/>
          </w:tcPr>
          <w:p w14:paraId="343144C4" w14:textId="77777777" w:rsidR="00DC38CF" w:rsidRDefault="00DC38CF" w:rsidP="00DC38CF">
            <w:pPr>
              <w:jc w:val="right"/>
              <w:rPr>
                <w:sz w:val="20"/>
                <w:szCs w:val="20"/>
              </w:rPr>
            </w:pPr>
          </w:p>
        </w:tc>
        <w:tc>
          <w:tcPr>
            <w:tcW w:w="706" w:type="pct"/>
            <w:tcBorders>
              <w:top w:val="nil"/>
              <w:left w:val="nil"/>
              <w:bottom w:val="nil"/>
              <w:right w:val="nil"/>
            </w:tcBorders>
            <w:shd w:val="clear" w:color="auto" w:fill="auto"/>
            <w:noWrap/>
            <w:vAlign w:val="bottom"/>
            <w:hideMark/>
          </w:tcPr>
          <w:p w14:paraId="6127F3EF" w14:textId="77777777" w:rsidR="00DC38CF" w:rsidRDefault="00DC38CF" w:rsidP="00DC38CF">
            <w:pPr>
              <w:jc w:val="right"/>
              <w:rPr>
                <w:sz w:val="20"/>
                <w:szCs w:val="20"/>
              </w:rPr>
            </w:pPr>
          </w:p>
        </w:tc>
        <w:tc>
          <w:tcPr>
            <w:tcW w:w="118" w:type="pct"/>
            <w:tcBorders>
              <w:top w:val="nil"/>
              <w:left w:val="nil"/>
              <w:bottom w:val="nil"/>
              <w:right w:val="nil"/>
            </w:tcBorders>
            <w:shd w:val="clear" w:color="auto" w:fill="auto"/>
            <w:noWrap/>
            <w:vAlign w:val="bottom"/>
            <w:hideMark/>
          </w:tcPr>
          <w:p w14:paraId="54C604C5" w14:textId="77777777" w:rsidR="00DC38CF" w:rsidRDefault="00DC38CF" w:rsidP="00DC38CF">
            <w:pPr>
              <w:jc w:val="right"/>
              <w:rPr>
                <w:sz w:val="20"/>
                <w:szCs w:val="20"/>
              </w:rPr>
            </w:pPr>
          </w:p>
        </w:tc>
        <w:tc>
          <w:tcPr>
            <w:tcW w:w="852" w:type="pct"/>
            <w:tcBorders>
              <w:top w:val="nil"/>
              <w:left w:val="nil"/>
              <w:bottom w:val="nil"/>
              <w:right w:val="nil"/>
            </w:tcBorders>
            <w:shd w:val="clear" w:color="auto" w:fill="auto"/>
            <w:noWrap/>
            <w:vAlign w:val="bottom"/>
            <w:hideMark/>
          </w:tcPr>
          <w:p w14:paraId="4BB1D773" w14:textId="77777777" w:rsidR="00DC38CF" w:rsidRDefault="00DC38CF" w:rsidP="00DC38CF">
            <w:pPr>
              <w:jc w:val="right"/>
              <w:rPr>
                <w:sz w:val="20"/>
                <w:szCs w:val="20"/>
              </w:rPr>
            </w:pPr>
          </w:p>
        </w:tc>
      </w:tr>
      <w:tr w:rsidR="004D1F74" w14:paraId="3CF8662B" w14:textId="77777777" w:rsidTr="0002742D">
        <w:trPr>
          <w:trHeight w:val="315"/>
        </w:trPr>
        <w:tc>
          <w:tcPr>
            <w:tcW w:w="1507" w:type="pct"/>
            <w:tcBorders>
              <w:top w:val="nil"/>
              <w:left w:val="nil"/>
              <w:bottom w:val="nil"/>
              <w:right w:val="nil"/>
            </w:tcBorders>
            <w:shd w:val="clear" w:color="auto" w:fill="auto"/>
            <w:noWrap/>
            <w:vAlign w:val="bottom"/>
            <w:hideMark/>
          </w:tcPr>
          <w:p w14:paraId="12F9A7A1" w14:textId="77777777" w:rsidR="00DC38CF" w:rsidRDefault="00DC38CF">
            <w:pPr>
              <w:rPr>
                <w:rFonts w:ascii="Calibri Light" w:hAnsi="Calibri Light" w:cs="Arial"/>
                <w:sz w:val="22"/>
                <w:szCs w:val="22"/>
              </w:rPr>
            </w:pPr>
            <w:r>
              <w:rPr>
                <w:rFonts w:ascii="Calibri Light" w:hAnsi="Calibri Light" w:cs="Arial"/>
                <w:sz w:val="22"/>
                <w:szCs w:val="22"/>
              </w:rPr>
              <w:t>- Diluted earnings</w:t>
            </w:r>
          </w:p>
        </w:tc>
        <w:tc>
          <w:tcPr>
            <w:tcW w:w="424" w:type="pct"/>
            <w:tcBorders>
              <w:top w:val="nil"/>
              <w:left w:val="nil"/>
              <w:bottom w:val="nil"/>
              <w:right w:val="nil"/>
            </w:tcBorders>
            <w:shd w:val="clear" w:color="auto" w:fill="auto"/>
            <w:noWrap/>
            <w:vAlign w:val="bottom"/>
            <w:hideMark/>
          </w:tcPr>
          <w:p w14:paraId="0EA08796" w14:textId="7A128D82" w:rsidR="00DC38CF" w:rsidRPr="00262A0E" w:rsidRDefault="00A752F6" w:rsidP="00262A0E">
            <w:pPr>
              <w:jc w:val="center"/>
              <w:rPr>
                <w:rFonts w:ascii="Calibri Light" w:hAnsi="Calibri Light" w:cs="Arial"/>
                <w:b/>
                <w:bCs/>
                <w:sz w:val="22"/>
                <w:szCs w:val="22"/>
              </w:rPr>
            </w:pPr>
            <w:r w:rsidRPr="00262A0E">
              <w:rPr>
                <w:rFonts w:ascii="Calibri Light" w:hAnsi="Calibri Light" w:cs="Arial"/>
                <w:b/>
                <w:bCs/>
                <w:sz w:val="22"/>
                <w:szCs w:val="22"/>
              </w:rPr>
              <w:t>4</w:t>
            </w:r>
          </w:p>
        </w:tc>
        <w:tc>
          <w:tcPr>
            <w:tcW w:w="1275" w:type="pct"/>
            <w:tcBorders>
              <w:top w:val="nil"/>
              <w:left w:val="nil"/>
              <w:bottom w:val="double" w:sz="6" w:space="0" w:color="auto"/>
              <w:right w:val="nil"/>
            </w:tcBorders>
            <w:shd w:val="clear" w:color="auto" w:fill="auto"/>
            <w:noWrap/>
            <w:vAlign w:val="bottom"/>
            <w:hideMark/>
          </w:tcPr>
          <w:p w14:paraId="3F7E3808" w14:textId="68D831D0" w:rsidR="00DC38CF" w:rsidRDefault="00F30FBC" w:rsidP="004D1F74">
            <w:pPr>
              <w:ind w:right="-57"/>
              <w:jc w:val="right"/>
              <w:rPr>
                <w:rFonts w:ascii="Calibri Light" w:hAnsi="Calibri Light" w:cs="Arial"/>
                <w:sz w:val="22"/>
                <w:szCs w:val="22"/>
              </w:rPr>
            </w:pPr>
            <w:r>
              <w:rPr>
                <w:rFonts w:ascii="Calibri Light" w:hAnsi="Calibri Light" w:cs="Arial"/>
                <w:sz w:val="22"/>
                <w:szCs w:val="22"/>
              </w:rPr>
              <w:t>2.18p</w:t>
            </w:r>
          </w:p>
        </w:tc>
        <w:tc>
          <w:tcPr>
            <w:tcW w:w="118" w:type="pct"/>
            <w:tcBorders>
              <w:top w:val="nil"/>
              <w:left w:val="nil"/>
              <w:bottom w:val="nil"/>
              <w:right w:val="nil"/>
            </w:tcBorders>
            <w:shd w:val="clear" w:color="auto" w:fill="auto"/>
            <w:noWrap/>
            <w:vAlign w:val="bottom"/>
            <w:hideMark/>
          </w:tcPr>
          <w:p w14:paraId="68386561" w14:textId="77777777" w:rsidR="00DC38CF" w:rsidRDefault="00DC38CF" w:rsidP="00DC38CF">
            <w:pPr>
              <w:jc w:val="right"/>
              <w:rPr>
                <w:rFonts w:ascii="Calibri Light" w:hAnsi="Calibri Light" w:cs="Arial"/>
                <w:sz w:val="22"/>
                <w:szCs w:val="22"/>
              </w:rPr>
            </w:pPr>
          </w:p>
        </w:tc>
        <w:tc>
          <w:tcPr>
            <w:tcW w:w="706" w:type="pct"/>
            <w:tcBorders>
              <w:top w:val="nil"/>
              <w:left w:val="nil"/>
              <w:bottom w:val="double" w:sz="6" w:space="0" w:color="auto"/>
              <w:right w:val="nil"/>
            </w:tcBorders>
            <w:shd w:val="clear" w:color="auto" w:fill="auto"/>
            <w:noWrap/>
            <w:vAlign w:val="bottom"/>
            <w:hideMark/>
          </w:tcPr>
          <w:p w14:paraId="569633EC" w14:textId="3E1275CF" w:rsidR="00DC38CF" w:rsidRDefault="00DC38CF" w:rsidP="00DC38CF">
            <w:pPr>
              <w:jc w:val="right"/>
              <w:rPr>
                <w:rFonts w:ascii="Calibri Light" w:hAnsi="Calibri Light" w:cs="Arial"/>
                <w:sz w:val="22"/>
                <w:szCs w:val="22"/>
              </w:rPr>
            </w:pPr>
            <w:r>
              <w:rPr>
                <w:rFonts w:ascii="Calibri Light" w:hAnsi="Calibri Light" w:cs="Arial"/>
                <w:sz w:val="22"/>
                <w:szCs w:val="22"/>
              </w:rPr>
              <w:t xml:space="preserve"> </w:t>
            </w:r>
            <w:r w:rsidR="004D1F74">
              <w:rPr>
                <w:rFonts w:ascii="Calibri Light" w:hAnsi="Calibri Light" w:cs="Arial"/>
                <w:sz w:val="22"/>
                <w:szCs w:val="22"/>
              </w:rPr>
              <w:t>0.11p</w:t>
            </w:r>
            <w:r>
              <w:rPr>
                <w:rFonts w:ascii="Calibri Light" w:hAnsi="Calibri Light" w:cs="Arial"/>
                <w:sz w:val="22"/>
                <w:szCs w:val="22"/>
              </w:rPr>
              <w:t xml:space="preserve"> </w:t>
            </w:r>
          </w:p>
        </w:tc>
        <w:tc>
          <w:tcPr>
            <w:tcW w:w="118" w:type="pct"/>
            <w:tcBorders>
              <w:top w:val="nil"/>
              <w:left w:val="nil"/>
              <w:bottom w:val="nil"/>
              <w:right w:val="nil"/>
            </w:tcBorders>
            <w:shd w:val="clear" w:color="auto" w:fill="auto"/>
            <w:noWrap/>
            <w:vAlign w:val="bottom"/>
            <w:hideMark/>
          </w:tcPr>
          <w:p w14:paraId="5B52BDF9" w14:textId="77777777" w:rsidR="00DC38CF" w:rsidRDefault="00DC38CF" w:rsidP="00DC38CF">
            <w:pPr>
              <w:jc w:val="right"/>
              <w:rPr>
                <w:rFonts w:ascii="Calibri Light" w:hAnsi="Calibri Light" w:cs="Arial"/>
                <w:sz w:val="22"/>
                <w:szCs w:val="22"/>
              </w:rPr>
            </w:pPr>
          </w:p>
        </w:tc>
        <w:tc>
          <w:tcPr>
            <w:tcW w:w="852" w:type="pct"/>
            <w:tcBorders>
              <w:top w:val="nil"/>
              <w:left w:val="nil"/>
              <w:bottom w:val="double" w:sz="6" w:space="0" w:color="auto"/>
              <w:right w:val="nil"/>
            </w:tcBorders>
            <w:shd w:val="clear" w:color="auto" w:fill="auto"/>
            <w:noWrap/>
            <w:vAlign w:val="bottom"/>
            <w:hideMark/>
          </w:tcPr>
          <w:p w14:paraId="104EE01D" w14:textId="77777777" w:rsidR="00DC38CF" w:rsidRDefault="00DC38CF" w:rsidP="00DC38CF">
            <w:pPr>
              <w:jc w:val="right"/>
              <w:rPr>
                <w:rFonts w:ascii="Calibri Light" w:hAnsi="Calibri Light" w:cs="Arial"/>
                <w:sz w:val="22"/>
                <w:szCs w:val="22"/>
              </w:rPr>
            </w:pPr>
            <w:r>
              <w:rPr>
                <w:rFonts w:ascii="Calibri Light" w:hAnsi="Calibri Light" w:cs="Arial"/>
                <w:sz w:val="22"/>
                <w:szCs w:val="22"/>
              </w:rPr>
              <w:t>1.61p</w:t>
            </w:r>
          </w:p>
        </w:tc>
      </w:tr>
    </w:tbl>
    <w:p w14:paraId="64400189" w14:textId="557CA11A" w:rsidR="00042DD2" w:rsidRPr="006645AF" w:rsidRDefault="00042DD2">
      <w:pPr>
        <w:rPr>
          <w:rFonts w:ascii="Calibri Light" w:hAnsi="Calibri Light" w:cs="Arial"/>
          <w:b/>
          <w:sz w:val="22"/>
          <w:szCs w:val="22"/>
        </w:rPr>
      </w:pPr>
      <w:r w:rsidRPr="006645AF">
        <w:rPr>
          <w:rFonts w:ascii="Calibri Light" w:hAnsi="Calibri Light" w:cs="Arial"/>
          <w:b/>
          <w:sz w:val="22"/>
          <w:szCs w:val="22"/>
        </w:rPr>
        <w:br w:type="page"/>
      </w:r>
    </w:p>
    <w:p w14:paraId="6440018A" w14:textId="2B3EDDED" w:rsidR="00F85DCA" w:rsidRPr="006645AF" w:rsidRDefault="00933A3B" w:rsidP="00F85DCA">
      <w:pPr>
        <w:rPr>
          <w:rFonts w:ascii="Calibri Light" w:hAnsi="Calibri Light" w:cs="Calibri Light"/>
          <w:b/>
          <w:sz w:val="22"/>
          <w:szCs w:val="22"/>
        </w:rPr>
      </w:pPr>
      <w:r w:rsidRPr="006645AF">
        <w:rPr>
          <w:rFonts w:ascii="Calibri Light" w:hAnsi="Calibri Light" w:cs="Calibri Light"/>
          <w:b/>
          <w:sz w:val="22"/>
          <w:szCs w:val="22"/>
        </w:rPr>
        <w:lastRenderedPageBreak/>
        <w:t>S</w:t>
      </w:r>
      <w:r w:rsidR="004D44B6" w:rsidRPr="006645AF">
        <w:rPr>
          <w:rFonts w:ascii="Calibri Light" w:hAnsi="Calibri Light" w:cs="Calibri Light"/>
          <w:b/>
          <w:sz w:val="22"/>
          <w:szCs w:val="22"/>
        </w:rPr>
        <w:t>tatement of financial position</w:t>
      </w:r>
    </w:p>
    <w:p w14:paraId="6440018B" w14:textId="4557196A" w:rsidR="00F85DCA" w:rsidRPr="006645AF" w:rsidRDefault="00F85DCA" w:rsidP="00F85DCA">
      <w:pPr>
        <w:rPr>
          <w:rFonts w:ascii="Calibri Light" w:hAnsi="Calibri Light" w:cs="Calibri Light"/>
          <w:b/>
          <w:sz w:val="22"/>
          <w:szCs w:val="22"/>
        </w:rPr>
      </w:pPr>
      <w:r w:rsidRPr="006645AF">
        <w:rPr>
          <w:rFonts w:ascii="Calibri Light" w:hAnsi="Calibri Light" w:cs="Calibri Light"/>
          <w:b/>
          <w:sz w:val="22"/>
          <w:szCs w:val="22"/>
        </w:rPr>
        <w:t xml:space="preserve">As at </w:t>
      </w:r>
      <w:r w:rsidR="001008F0" w:rsidRPr="006645AF">
        <w:rPr>
          <w:rFonts w:ascii="Calibri Light" w:hAnsi="Calibri Light" w:cs="Calibri Light"/>
          <w:b/>
          <w:sz w:val="22"/>
          <w:szCs w:val="22"/>
        </w:rPr>
        <w:t>30</w:t>
      </w:r>
      <w:r w:rsidRPr="006645AF">
        <w:rPr>
          <w:rFonts w:ascii="Calibri Light" w:hAnsi="Calibri Light" w:cs="Calibri Light"/>
          <w:b/>
          <w:sz w:val="22"/>
          <w:szCs w:val="22"/>
        </w:rPr>
        <w:t xml:space="preserve"> Ju</w:t>
      </w:r>
      <w:r w:rsidR="001008F0" w:rsidRPr="006645AF">
        <w:rPr>
          <w:rFonts w:ascii="Calibri Light" w:hAnsi="Calibri Light" w:cs="Calibri Light"/>
          <w:b/>
          <w:sz w:val="22"/>
          <w:szCs w:val="22"/>
        </w:rPr>
        <w:t>ne</w:t>
      </w:r>
      <w:r w:rsidR="00C93F9E" w:rsidRPr="006645AF">
        <w:rPr>
          <w:rFonts w:ascii="Calibri Light" w:hAnsi="Calibri Light" w:cs="Calibri Light"/>
          <w:b/>
          <w:sz w:val="22"/>
          <w:szCs w:val="22"/>
        </w:rPr>
        <w:t xml:space="preserve"> 20</w:t>
      </w:r>
      <w:r w:rsidR="00C44950" w:rsidRPr="006645AF">
        <w:rPr>
          <w:rFonts w:ascii="Calibri Light" w:hAnsi="Calibri Light" w:cs="Calibri Light"/>
          <w:b/>
          <w:sz w:val="22"/>
          <w:szCs w:val="22"/>
        </w:rPr>
        <w:t>2</w:t>
      </w:r>
      <w:r w:rsidR="00232CB3">
        <w:rPr>
          <w:rFonts w:ascii="Calibri Light" w:hAnsi="Calibri Light" w:cs="Calibri Light"/>
          <w:b/>
          <w:sz w:val="22"/>
          <w:szCs w:val="22"/>
        </w:rPr>
        <w:t>2</w:t>
      </w:r>
    </w:p>
    <w:tbl>
      <w:tblPr>
        <w:tblW w:w="5009" w:type="pct"/>
        <w:tblLayout w:type="fixed"/>
        <w:tblLook w:val="04A0" w:firstRow="1" w:lastRow="0" w:firstColumn="1" w:lastColumn="0" w:noHBand="0" w:noVBand="1"/>
      </w:tblPr>
      <w:tblGrid>
        <w:gridCol w:w="3261"/>
        <w:gridCol w:w="669"/>
        <w:gridCol w:w="1679"/>
        <w:gridCol w:w="256"/>
        <w:gridCol w:w="1619"/>
        <w:gridCol w:w="256"/>
        <w:gridCol w:w="1681"/>
      </w:tblGrid>
      <w:tr w:rsidR="00570A21" w:rsidRPr="00C84AFC" w14:paraId="07B9DC55" w14:textId="77777777" w:rsidTr="00262A0E">
        <w:trPr>
          <w:trHeight w:val="300"/>
        </w:trPr>
        <w:tc>
          <w:tcPr>
            <w:tcW w:w="1731" w:type="pct"/>
            <w:tcBorders>
              <w:top w:val="nil"/>
              <w:left w:val="nil"/>
              <w:bottom w:val="nil"/>
              <w:right w:val="nil"/>
            </w:tcBorders>
            <w:shd w:val="clear" w:color="auto" w:fill="auto"/>
            <w:noWrap/>
            <w:vAlign w:val="bottom"/>
            <w:hideMark/>
          </w:tcPr>
          <w:p w14:paraId="7B4696D7" w14:textId="77777777" w:rsidR="00393BAD" w:rsidRPr="00C84AFC" w:rsidRDefault="00393BAD">
            <w:pPr>
              <w:rPr>
                <w:rFonts w:ascii="Calibri Light" w:hAnsi="Calibri Light"/>
                <w:sz w:val="20"/>
                <w:szCs w:val="20"/>
                <w:lang w:eastAsia="en-GB"/>
              </w:rPr>
            </w:pPr>
          </w:p>
        </w:tc>
        <w:tc>
          <w:tcPr>
            <w:tcW w:w="355" w:type="pct"/>
            <w:tcBorders>
              <w:top w:val="nil"/>
              <w:left w:val="nil"/>
              <w:bottom w:val="nil"/>
              <w:right w:val="nil"/>
            </w:tcBorders>
            <w:shd w:val="clear" w:color="auto" w:fill="auto"/>
            <w:noWrap/>
            <w:vAlign w:val="bottom"/>
            <w:hideMark/>
          </w:tcPr>
          <w:p w14:paraId="5E15BFBF" w14:textId="2382945C" w:rsidR="00393BAD" w:rsidRPr="00262A0E" w:rsidRDefault="00A752F6">
            <w:pPr>
              <w:rPr>
                <w:rFonts w:ascii="Calibri Light" w:hAnsi="Calibri Light"/>
                <w:b/>
                <w:bCs/>
                <w:sz w:val="20"/>
                <w:szCs w:val="20"/>
              </w:rPr>
            </w:pPr>
            <w:r w:rsidRPr="00262A0E">
              <w:rPr>
                <w:rFonts w:ascii="Calibri Light" w:hAnsi="Calibri Light"/>
                <w:b/>
                <w:bCs/>
                <w:sz w:val="20"/>
                <w:szCs w:val="20"/>
              </w:rPr>
              <w:t>Note</w:t>
            </w:r>
          </w:p>
        </w:tc>
        <w:tc>
          <w:tcPr>
            <w:tcW w:w="891" w:type="pct"/>
            <w:tcBorders>
              <w:top w:val="nil"/>
              <w:left w:val="nil"/>
              <w:bottom w:val="single" w:sz="4" w:space="0" w:color="auto"/>
              <w:right w:val="nil"/>
            </w:tcBorders>
            <w:shd w:val="clear" w:color="auto" w:fill="auto"/>
            <w:noWrap/>
            <w:vAlign w:val="bottom"/>
            <w:hideMark/>
          </w:tcPr>
          <w:p w14:paraId="0369F628" w14:textId="77777777" w:rsidR="00393BAD" w:rsidRPr="00C84AFC" w:rsidRDefault="00393BAD">
            <w:pPr>
              <w:jc w:val="right"/>
              <w:rPr>
                <w:rFonts w:ascii="Calibri Light" w:hAnsi="Calibri Light" w:cs="Arial"/>
                <w:b/>
                <w:bCs/>
                <w:sz w:val="20"/>
                <w:szCs w:val="20"/>
              </w:rPr>
            </w:pPr>
            <w:r w:rsidRPr="00C84AFC">
              <w:rPr>
                <w:rFonts w:ascii="Calibri Light" w:hAnsi="Calibri Light" w:cs="Arial"/>
                <w:b/>
                <w:bCs/>
                <w:sz w:val="20"/>
                <w:szCs w:val="20"/>
              </w:rPr>
              <w:t>30 June</w:t>
            </w:r>
          </w:p>
        </w:tc>
        <w:tc>
          <w:tcPr>
            <w:tcW w:w="136" w:type="pct"/>
            <w:tcBorders>
              <w:top w:val="nil"/>
              <w:left w:val="nil"/>
              <w:bottom w:val="nil"/>
              <w:right w:val="nil"/>
            </w:tcBorders>
            <w:shd w:val="clear" w:color="auto" w:fill="auto"/>
            <w:noWrap/>
            <w:vAlign w:val="bottom"/>
            <w:hideMark/>
          </w:tcPr>
          <w:p w14:paraId="13150200" w14:textId="77777777" w:rsidR="00393BAD" w:rsidRPr="00C84AFC" w:rsidRDefault="00393BAD">
            <w:pPr>
              <w:jc w:val="right"/>
              <w:rPr>
                <w:rFonts w:ascii="Calibri Light" w:hAnsi="Calibri Light" w:cs="Arial"/>
                <w:b/>
                <w:bCs/>
                <w:sz w:val="20"/>
                <w:szCs w:val="20"/>
              </w:rPr>
            </w:pPr>
          </w:p>
        </w:tc>
        <w:tc>
          <w:tcPr>
            <w:tcW w:w="859" w:type="pct"/>
            <w:tcBorders>
              <w:top w:val="nil"/>
              <w:left w:val="nil"/>
              <w:bottom w:val="single" w:sz="4" w:space="0" w:color="auto"/>
              <w:right w:val="nil"/>
            </w:tcBorders>
            <w:shd w:val="clear" w:color="auto" w:fill="auto"/>
            <w:noWrap/>
            <w:vAlign w:val="bottom"/>
            <w:hideMark/>
          </w:tcPr>
          <w:p w14:paraId="27FA6696" w14:textId="77777777" w:rsidR="00393BAD" w:rsidRPr="00C84AFC" w:rsidRDefault="00393BAD">
            <w:pPr>
              <w:jc w:val="right"/>
              <w:rPr>
                <w:rFonts w:ascii="Calibri Light" w:hAnsi="Calibri Light" w:cs="Arial"/>
                <w:b/>
                <w:bCs/>
                <w:sz w:val="20"/>
                <w:szCs w:val="20"/>
              </w:rPr>
            </w:pPr>
            <w:r w:rsidRPr="00C84AFC">
              <w:rPr>
                <w:rFonts w:ascii="Calibri Light" w:hAnsi="Calibri Light" w:cs="Arial"/>
                <w:b/>
                <w:bCs/>
                <w:sz w:val="20"/>
                <w:szCs w:val="20"/>
              </w:rPr>
              <w:t>30 June</w:t>
            </w:r>
          </w:p>
        </w:tc>
        <w:tc>
          <w:tcPr>
            <w:tcW w:w="136" w:type="pct"/>
            <w:tcBorders>
              <w:top w:val="nil"/>
              <w:left w:val="nil"/>
              <w:bottom w:val="nil"/>
              <w:right w:val="nil"/>
            </w:tcBorders>
            <w:shd w:val="clear" w:color="auto" w:fill="auto"/>
            <w:noWrap/>
            <w:vAlign w:val="bottom"/>
            <w:hideMark/>
          </w:tcPr>
          <w:p w14:paraId="4C3E3EE4" w14:textId="77777777" w:rsidR="00393BAD" w:rsidRPr="00C84AFC" w:rsidRDefault="00393BAD">
            <w:pPr>
              <w:jc w:val="right"/>
              <w:rPr>
                <w:rFonts w:ascii="Calibri Light" w:hAnsi="Calibri Light" w:cs="Arial"/>
                <w:b/>
                <w:bCs/>
                <w:sz w:val="20"/>
                <w:szCs w:val="20"/>
              </w:rPr>
            </w:pPr>
          </w:p>
        </w:tc>
        <w:tc>
          <w:tcPr>
            <w:tcW w:w="892" w:type="pct"/>
            <w:tcBorders>
              <w:top w:val="nil"/>
              <w:left w:val="nil"/>
              <w:bottom w:val="single" w:sz="4" w:space="0" w:color="auto"/>
              <w:right w:val="nil"/>
            </w:tcBorders>
            <w:shd w:val="clear" w:color="auto" w:fill="auto"/>
            <w:noWrap/>
            <w:vAlign w:val="bottom"/>
            <w:hideMark/>
          </w:tcPr>
          <w:p w14:paraId="0AFF85BA" w14:textId="77777777" w:rsidR="00393BAD" w:rsidRPr="00C84AFC" w:rsidRDefault="00393BAD">
            <w:pPr>
              <w:jc w:val="right"/>
              <w:rPr>
                <w:rFonts w:ascii="Calibri Light" w:hAnsi="Calibri Light" w:cs="Arial"/>
                <w:b/>
                <w:bCs/>
                <w:sz w:val="20"/>
                <w:szCs w:val="20"/>
              </w:rPr>
            </w:pPr>
            <w:r w:rsidRPr="00C84AFC">
              <w:rPr>
                <w:rFonts w:ascii="Calibri Light" w:hAnsi="Calibri Light" w:cs="Arial"/>
                <w:b/>
                <w:bCs/>
                <w:sz w:val="20"/>
                <w:szCs w:val="20"/>
              </w:rPr>
              <w:t>31 December</w:t>
            </w:r>
          </w:p>
        </w:tc>
      </w:tr>
      <w:tr w:rsidR="00570A21" w:rsidRPr="00C84AFC" w14:paraId="09D02163" w14:textId="77777777" w:rsidTr="00262A0E">
        <w:trPr>
          <w:trHeight w:val="300"/>
        </w:trPr>
        <w:tc>
          <w:tcPr>
            <w:tcW w:w="1731" w:type="pct"/>
            <w:tcBorders>
              <w:top w:val="nil"/>
              <w:left w:val="nil"/>
              <w:bottom w:val="nil"/>
              <w:right w:val="nil"/>
            </w:tcBorders>
            <w:shd w:val="clear" w:color="auto" w:fill="auto"/>
            <w:noWrap/>
            <w:vAlign w:val="bottom"/>
            <w:hideMark/>
          </w:tcPr>
          <w:p w14:paraId="00465F5B" w14:textId="77777777" w:rsidR="00393BAD" w:rsidRPr="00C84AFC" w:rsidRDefault="00393BAD">
            <w:pPr>
              <w:jc w:val="right"/>
              <w:rPr>
                <w:rFonts w:ascii="Calibri Light" w:hAnsi="Calibri Light" w:cs="Arial"/>
                <w:b/>
                <w:bCs/>
                <w:sz w:val="20"/>
                <w:szCs w:val="20"/>
              </w:rPr>
            </w:pPr>
          </w:p>
        </w:tc>
        <w:tc>
          <w:tcPr>
            <w:tcW w:w="355" w:type="pct"/>
            <w:tcBorders>
              <w:top w:val="nil"/>
              <w:left w:val="nil"/>
              <w:bottom w:val="nil"/>
              <w:right w:val="nil"/>
            </w:tcBorders>
            <w:shd w:val="clear" w:color="auto" w:fill="auto"/>
            <w:noWrap/>
            <w:vAlign w:val="bottom"/>
            <w:hideMark/>
          </w:tcPr>
          <w:p w14:paraId="26C4DB8F"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6927CAF3" w14:textId="77777777" w:rsidR="00393BAD" w:rsidRPr="00C84AFC" w:rsidRDefault="00393BAD">
            <w:pPr>
              <w:jc w:val="right"/>
              <w:rPr>
                <w:rFonts w:ascii="Calibri Light" w:hAnsi="Calibri Light" w:cs="Arial"/>
                <w:sz w:val="20"/>
                <w:szCs w:val="20"/>
              </w:rPr>
            </w:pPr>
            <w:r w:rsidRPr="00C84AFC">
              <w:rPr>
                <w:rFonts w:ascii="Calibri Light" w:hAnsi="Calibri Light" w:cs="Arial"/>
                <w:sz w:val="20"/>
                <w:szCs w:val="20"/>
              </w:rPr>
              <w:t>2022</w:t>
            </w:r>
          </w:p>
        </w:tc>
        <w:tc>
          <w:tcPr>
            <w:tcW w:w="136" w:type="pct"/>
            <w:tcBorders>
              <w:top w:val="nil"/>
              <w:left w:val="nil"/>
              <w:bottom w:val="nil"/>
              <w:right w:val="nil"/>
            </w:tcBorders>
            <w:shd w:val="clear" w:color="auto" w:fill="auto"/>
            <w:noWrap/>
            <w:vAlign w:val="bottom"/>
            <w:hideMark/>
          </w:tcPr>
          <w:p w14:paraId="36A1B7E0" w14:textId="77777777" w:rsidR="00393BAD" w:rsidRPr="00C84AFC" w:rsidRDefault="00393BAD">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7517DFEB" w14:textId="77777777" w:rsidR="00393BAD" w:rsidRPr="00C84AFC" w:rsidRDefault="00393BAD">
            <w:pPr>
              <w:jc w:val="right"/>
              <w:rPr>
                <w:rFonts w:ascii="Calibri Light" w:hAnsi="Calibri Light" w:cs="Arial"/>
                <w:sz w:val="20"/>
                <w:szCs w:val="20"/>
              </w:rPr>
            </w:pPr>
            <w:r w:rsidRPr="00C84AFC">
              <w:rPr>
                <w:rFonts w:ascii="Calibri Light" w:hAnsi="Calibri Light" w:cs="Arial"/>
                <w:sz w:val="20"/>
                <w:szCs w:val="20"/>
              </w:rPr>
              <w:t>2021</w:t>
            </w:r>
          </w:p>
        </w:tc>
        <w:tc>
          <w:tcPr>
            <w:tcW w:w="136" w:type="pct"/>
            <w:tcBorders>
              <w:top w:val="nil"/>
              <w:left w:val="nil"/>
              <w:bottom w:val="nil"/>
              <w:right w:val="nil"/>
            </w:tcBorders>
            <w:shd w:val="clear" w:color="auto" w:fill="auto"/>
            <w:noWrap/>
            <w:vAlign w:val="bottom"/>
            <w:hideMark/>
          </w:tcPr>
          <w:p w14:paraId="2FF62884" w14:textId="77777777" w:rsidR="00393BAD" w:rsidRPr="00C84AFC" w:rsidRDefault="00393BAD">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117D2A65" w14:textId="77777777" w:rsidR="00393BAD" w:rsidRPr="00C84AFC" w:rsidRDefault="00393BAD">
            <w:pPr>
              <w:jc w:val="right"/>
              <w:rPr>
                <w:rFonts w:ascii="Calibri Light" w:hAnsi="Calibri Light" w:cs="Arial"/>
                <w:sz w:val="20"/>
                <w:szCs w:val="20"/>
              </w:rPr>
            </w:pPr>
            <w:r w:rsidRPr="00C84AFC">
              <w:rPr>
                <w:rFonts w:ascii="Calibri Light" w:hAnsi="Calibri Light" w:cs="Arial"/>
                <w:sz w:val="20"/>
                <w:szCs w:val="20"/>
              </w:rPr>
              <w:t>2021</w:t>
            </w:r>
          </w:p>
        </w:tc>
      </w:tr>
      <w:tr w:rsidR="00570A21" w:rsidRPr="00C84AFC" w14:paraId="7EE3A899" w14:textId="77777777" w:rsidTr="00262A0E">
        <w:trPr>
          <w:trHeight w:val="300"/>
        </w:trPr>
        <w:tc>
          <w:tcPr>
            <w:tcW w:w="1731" w:type="pct"/>
            <w:tcBorders>
              <w:top w:val="nil"/>
              <w:left w:val="nil"/>
              <w:bottom w:val="nil"/>
              <w:right w:val="nil"/>
            </w:tcBorders>
            <w:shd w:val="clear" w:color="auto" w:fill="auto"/>
            <w:noWrap/>
            <w:vAlign w:val="bottom"/>
            <w:hideMark/>
          </w:tcPr>
          <w:p w14:paraId="109D8B64" w14:textId="77777777" w:rsidR="00393BAD" w:rsidRPr="00C84AFC" w:rsidRDefault="00393BAD">
            <w:pPr>
              <w:jc w:val="right"/>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06F92631"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1F3AD562" w14:textId="77777777" w:rsidR="00393BAD" w:rsidRPr="00C84AFC" w:rsidRDefault="00393BAD">
            <w:pPr>
              <w:jc w:val="right"/>
              <w:rPr>
                <w:rFonts w:ascii="Calibri Light" w:hAnsi="Calibri Light" w:cs="Arial"/>
                <w:i/>
                <w:iCs/>
                <w:sz w:val="20"/>
                <w:szCs w:val="20"/>
              </w:rPr>
            </w:pPr>
            <w:r w:rsidRPr="00C84AFC">
              <w:rPr>
                <w:rFonts w:ascii="Calibri Light" w:hAnsi="Calibri Light" w:cs="Arial"/>
                <w:i/>
                <w:iCs/>
                <w:sz w:val="20"/>
                <w:szCs w:val="20"/>
              </w:rPr>
              <w:t>(unaudited)</w:t>
            </w:r>
          </w:p>
        </w:tc>
        <w:tc>
          <w:tcPr>
            <w:tcW w:w="136" w:type="pct"/>
            <w:tcBorders>
              <w:top w:val="nil"/>
              <w:left w:val="nil"/>
              <w:bottom w:val="nil"/>
              <w:right w:val="nil"/>
            </w:tcBorders>
            <w:shd w:val="clear" w:color="auto" w:fill="auto"/>
            <w:noWrap/>
            <w:vAlign w:val="bottom"/>
            <w:hideMark/>
          </w:tcPr>
          <w:p w14:paraId="2F18D131" w14:textId="77777777" w:rsidR="00393BAD" w:rsidRPr="00C84AFC" w:rsidRDefault="00393BAD">
            <w:pPr>
              <w:jc w:val="right"/>
              <w:rPr>
                <w:rFonts w:ascii="Calibri Light" w:hAnsi="Calibri Light" w:cs="Arial"/>
                <w:i/>
                <w:iCs/>
                <w:sz w:val="20"/>
                <w:szCs w:val="20"/>
              </w:rPr>
            </w:pPr>
          </w:p>
        </w:tc>
        <w:tc>
          <w:tcPr>
            <w:tcW w:w="859" w:type="pct"/>
            <w:tcBorders>
              <w:top w:val="nil"/>
              <w:left w:val="nil"/>
              <w:bottom w:val="nil"/>
              <w:right w:val="nil"/>
            </w:tcBorders>
            <w:shd w:val="clear" w:color="auto" w:fill="auto"/>
            <w:noWrap/>
            <w:vAlign w:val="bottom"/>
            <w:hideMark/>
          </w:tcPr>
          <w:p w14:paraId="661E0E4E" w14:textId="77777777" w:rsidR="00393BAD" w:rsidRPr="00C84AFC" w:rsidRDefault="00393BAD">
            <w:pPr>
              <w:jc w:val="right"/>
              <w:rPr>
                <w:rFonts w:ascii="Calibri Light" w:hAnsi="Calibri Light" w:cs="Arial"/>
                <w:i/>
                <w:iCs/>
                <w:sz w:val="20"/>
                <w:szCs w:val="20"/>
              </w:rPr>
            </w:pPr>
            <w:r w:rsidRPr="00C84AFC">
              <w:rPr>
                <w:rFonts w:ascii="Calibri Light" w:hAnsi="Calibri Light" w:cs="Arial"/>
                <w:i/>
                <w:iCs/>
                <w:sz w:val="20"/>
                <w:szCs w:val="20"/>
              </w:rPr>
              <w:t>(unaudited)</w:t>
            </w:r>
          </w:p>
        </w:tc>
        <w:tc>
          <w:tcPr>
            <w:tcW w:w="136" w:type="pct"/>
            <w:tcBorders>
              <w:top w:val="nil"/>
              <w:left w:val="nil"/>
              <w:bottom w:val="nil"/>
              <w:right w:val="nil"/>
            </w:tcBorders>
            <w:shd w:val="clear" w:color="auto" w:fill="auto"/>
            <w:noWrap/>
            <w:vAlign w:val="bottom"/>
            <w:hideMark/>
          </w:tcPr>
          <w:p w14:paraId="2A17A772" w14:textId="77777777" w:rsidR="00393BAD" w:rsidRPr="00C84AFC" w:rsidRDefault="00393BAD">
            <w:pPr>
              <w:jc w:val="right"/>
              <w:rPr>
                <w:rFonts w:ascii="Calibri Light" w:hAnsi="Calibri Light" w:cs="Arial"/>
                <w:i/>
                <w:iCs/>
                <w:sz w:val="20"/>
                <w:szCs w:val="20"/>
              </w:rPr>
            </w:pPr>
          </w:p>
        </w:tc>
        <w:tc>
          <w:tcPr>
            <w:tcW w:w="892" w:type="pct"/>
            <w:tcBorders>
              <w:top w:val="nil"/>
              <w:left w:val="nil"/>
              <w:bottom w:val="nil"/>
              <w:right w:val="nil"/>
            </w:tcBorders>
            <w:shd w:val="clear" w:color="auto" w:fill="auto"/>
            <w:noWrap/>
            <w:vAlign w:val="bottom"/>
            <w:hideMark/>
          </w:tcPr>
          <w:p w14:paraId="687F8379" w14:textId="77777777" w:rsidR="00393BAD" w:rsidRPr="00C84AFC" w:rsidRDefault="00393BAD">
            <w:pPr>
              <w:jc w:val="right"/>
              <w:rPr>
                <w:rFonts w:ascii="Calibri Light" w:hAnsi="Calibri Light" w:cs="Arial"/>
                <w:i/>
                <w:iCs/>
                <w:sz w:val="20"/>
                <w:szCs w:val="20"/>
              </w:rPr>
            </w:pPr>
            <w:r w:rsidRPr="00C84AFC">
              <w:rPr>
                <w:rFonts w:ascii="Calibri Light" w:hAnsi="Calibri Light" w:cs="Arial"/>
                <w:i/>
                <w:iCs/>
                <w:sz w:val="20"/>
                <w:szCs w:val="20"/>
              </w:rPr>
              <w:t>(audited)</w:t>
            </w:r>
          </w:p>
        </w:tc>
      </w:tr>
      <w:tr w:rsidR="00570A21" w:rsidRPr="00C84AFC" w14:paraId="710670F3" w14:textId="77777777" w:rsidTr="00262A0E">
        <w:trPr>
          <w:trHeight w:val="300"/>
        </w:trPr>
        <w:tc>
          <w:tcPr>
            <w:tcW w:w="1731" w:type="pct"/>
            <w:tcBorders>
              <w:top w:val="nil"/>
              <w:left w:val="nil"/>
              <w:bottom w:val="nil"/>
              <w:right w:val="nil"/>
            </w:tcBorders>
            <w:shd w:val="clear" w:color="auto" w:fill="auto"/>
            <w:noWrap/>
            <w:vAlign w:val="bottom"/>
            <w:hideMark/>
          </w:tcPr>
          <w:p w14:paraId="7EC7E825" w14:textId="77777777" w:rsidR="00393BAD" w:rsidRPr="00C84AFC" w:rsidRDefault="00393BAD">
            <w:pPr>
              <w:jc w:val="right"/>
              <w:rPr>
                <w:rFonts w:ascii="Calibri Light" w:hAnsi="Calibri Light" w:cs="Arial"/>
                <w:i/>
                <w:iCs/>
                <w:sz w:val="20"/>
                <w:szCs w:val="20"/>
              </w:rPr>
            </w:pPr>
          </w:p>
        </w:tc>
        <w:tc>
          <w:tcPr>
            <w:tcW w:w="355" w:type="pct"/>
            <w:tcBorders>
              <w:top w:val="nil"/>
              <w:left w:val="nil"/>
              <w:bottom w:val="nil"/>
              <w:right w:val="nil"/>
            </w:tcBorders>
            <w:shd w:val="clear" w:color="auto" w:fill="auto"/>
            <w:noWrap/>
            <w:vAlign w:val="bottom"/>
            <w:hideMark/>
          </w:tcPr>
          <w:p w14:paraId="5621C94D"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69348488" w14:textId="77777777" w:rsidR="00393BAD" w:rsidRPr="00C84AFC" w:rsidRDefault="00393BAD">
            <w:pPr>
              <w:jc w:val="center"/>
              <w:rPr>
                <w:rFonts w:ascii="Calibri Light" w:hAnsi="Calibri Light" w:cs="Arial"/>
                <w:sz w:val="20"/>
                <w:szCs w:val="20"/>
              </w:rPr>
            </w:pPr>
            <w:r w:rsidRPr="00C84AFC">
              <w:rPr>
                <w:rFonts w:ascii="Calibri Light" w:hAnsi="Calibri Light" w:cs="Arial"/>
                <w:sz w:val="20"/>
                <w:szCs w:val="20"/>
              </w:rPr>
              <w:t>£</w:t>
            </w:r>
          </w:p>
        </w:tc>
        <w:tc>
          <w:tcPr>
            <w:tcW w:w="136" w:type="pct"/>
            <w:tcBorders>
              <w:top w:val="nil"/>
              <w:left w:val="nil"/>
              <w:bottom w:val="nil"/>
              <w:right w:val="nil"/>
            </w:tcBorders>
            <w:shd w:val="clear" w:color="auto" w:fill="auto"/>
            <w:noWrap/>
            <w:vAlign w:val="bottom"/>
            <w:hideMark/>
          </w:tcPr>
          <w:p w14:paraId="1ECD5563" w14:textId="77777777" w:rsidR="00393BAD" w:rsidRPr="00C84AFC" w:rsidRDefault="00393BAD">
            <w:pPr>
              <w:jc w:val="center"/>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465173BB" w14:textId="77777777" w:rsidR="00393BAD" w:rsidRPr="00C84AFC" w:rsidRDefault="00393BAD">
            <w:pPr>
              <w:jc w:val="center"/>
              <w:rPr>
                <w:rFonts w:ascii="Calibri Light" w:hAnsi="Calibri Light" w:cs="Arial"/>
                <w:sz w:val="20"/>
                <w:szCs w:val="20"/>
              </w:rPr>
            </w:pPr>
            <w:r w:rsidRPr="00C84AFC">
              <w:rPr>
                <w:rFonts w:ascii="Calibri Light" w:hAnsi="Calibri Light" w:cs="Arial"/>
                <w:sz w:val="20"/>
                <w:szCs w:val="20"/>
              </w:rPr>
              <w:t>£</w:t>
            </w:r>
          </w:p>
        </w:tc>
        <w:tc>
          <w:tcPr>
            <w:tcW w:w="136" w:type="pct"/>
            <w:tcBorders>
              <w:top w:val="nil"/>
              <w:left w:val="nil"/>
              <w:bottom w:val="nil"/>
              <w:right w:val="nil"/>
            </w:tcBorders>
            <w:shd w:val="clear" w:color="auto" w:fill="auto"/>
            <w:noWrap/>
            <w:vAlign w:val="bottom"/>
            <w:hideMark/>
          </w:tcPr>
          <w:p w14:paraId="3DD1B2B0" w14:textId="77777777" w:rsidR="00393BAD" w:rsidRPr="00C84AFC" w:rsidRDefault="00393BAD">
            <w:pPr>
              <w:jc w:val="center"/>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30C0D70A" w14:textId="77777777" w:rsidR="00393BAD" w:rsidRPr="00C84AFC" w:rsidRDefault="00393BAD">
            <w:pPr>
              <w:jc w:val="center"/>
              <w:rPr>
                <w:rFonts w:ascii="Calibri Light" w:hAnsi="Calibri Light" w:cs="Arial"/>
                <w:sz w:val="20"/>
                <w:szCs w:val="20"/>
              </w:rPr>
            </w:pPr>
            <w:r w:rsidRPr="00C84AFC">
              <w:rPr>
                <w:rFonts w:ascii="Calibri Light" w:hAnsi="Calibri Light" w:cs="Arial"/>
                <w:sz w:val="20"/>
                <w:szCs w:val="20"/>
              </w:rPr>
              <w:t>£</w:t>
            </w:r>
          </w:p>
        </w:tc>
      </w:tr>
      <w:tr w:rsidR="00570A21" w:rsidRPr="00C84AFC" w14:paraId="1C77AC2E" w14:textId="77777777" w:rsidTr="00262A0E">
        <w:trPr>
          <w:trHeight w:val="300"/>
        </w:trPr>
        <w:tc>
          <w:tcPr>
            <w:tcW w:w="1731" w:type="pct"/>
            <w:tcBorders>
              <w:top w:val="nil"/>
              <w:left w:val="nil"/>
              <w:bottom w:val="nil"/>
              <w:right w:val="nil"/>
            </w:tcBorders>
            <w:shd w:val="clear" w:color="auto" w:fill="auto"/>
            <w:noWrap/>
            <w:vAlign w:val="bottom"/>
            <w:hideMark/>
          </w:tcPr>
          <w:p w14:paraId="1F27FDB6"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ASSETS</w:t>
            </w:r>
          </w:p>
        </w:tc>
        <w:tc>
          <w:tcPr>
            <w:tcW w:w="355" w:type="pct"/>
            <w:tcBorders>
              <w:top w:val="nil"/>
              <w:left w:val="nil"/>
              <w:bottom w:val="nil"/>
              <w:right w:val="nil"/>
            </w:tcBorders>
            <w:shd w:val="clear" w:color="auto" w:fill="auto"/>
            <w:noWrap/>
            <w:vAlign w:val="bottom"/>
            <w:hideMark/>
          </w:tcPr>
          <w:p w14:paraId="5C3CE417"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2707304E"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59D4F408" w14:textId="77777777" w:rsidR="00393BAD" w:rsidRPr="00C84AFC" w:rsidRDefault="00393BAD">
            <w:pPr>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59A2AC9F"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50C5482C" w14:textId="77777777" w:rsidR="00393BAD" w:rsidRPr="00C84AFC" w:rsidRDefault="00393BAD">
            <w:pPr>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3B6E95DA" w14:textId="77777777" w:rsidR="00393BAD" w:rsidRPr="00C84AFC" w:rsidRDefault="00393BAD">
            <w:pPr>
              <w:rPr>
                <w:rFonts w:ascii="Calibri Light" w:hAnsi="Calibri Light"/>
                <w:sz w:val="20"/>
                <w:szCs w:val="20"/>
              </w:rPr>
            </w:pPr>
          </w:p>
        </w:tc>
      </w:tr>
      <w:tr w:rsidR="00570A21" w:rsidRPr="00C84AFC" w14:paraId="67446381" w14:textId="77777777" w:rsidTr="00262A0E">
        <w:trPr>
          <w:trHeight w:val="255"/>
        </w:trPr>
        <w:tc>
          <w:tcPr>
            <w:tcW w:w="1731" w:type="pct"/>
            <w:tcBorders>
              <w:top w:val="nil"/>
              <w:left w:val="nil"/>
              <w:bottom w:val="nil"/>
              <w:right w:val="nil"/>
            </w:tcBorders>
            <w:shd w:val="clear" w:color="auto" w:fill="auto"/>
            <w:noWrap/>
            <w:vAlign w:val="bottom"/>
            <w:hideMark/>
          </w:tcPr>
          <w:p w14:paraId="36152E56"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NON-CURRENT ASSETS</w:t>
            </w:r>
          </w:p>
        </w:tc>
        <w:tc>
          <w:tcPr>
            <w:tcW w:w="355" w:type="pct"/>
            <w:tcBorders>
              <w:top w:val="nil"/>
              <w:left w:val="nil"/>
              <w:bottom w:val="nil"/>
              <w:right w:val="nil"/>
            </w:tcBorders>
            <w:shd w:val="clear" w:color="auto" w:fill="auto"/>
            <w:noWrap/>
            <w:vAlign w:val="bottom"/>
            <w:hideMark/>
          </w:tcPr>
          <w:p w14:paraId="659F79F9"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32173267"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3EF5774E" w14:textId="77777777" w:rsidR="00393BAD" w:rsidRPr="00C84AFC" w:rsidRDefault="00393BAD">
            <w:pPr>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69EEB5AA"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05BC1BCB" w14:textId="77777777" w:rsidR="00393BAD" w:rsidRPr="00C84AFC" w:rsidRDefault="00393BAD">
            <w:pPr>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1C82F6D7" w14:textId="77777777" w:rsidR="00393BAD" w:rsidRPr="00C84AFC" w:rsidRDefault="00393BAD">
            <w:pPr>
              <w:rPr>
                <w:rFonts w:ascii="Calibri Light" w:hAnsi="Calibri Light"/>
                <w:sz w:val="20"/>
                <w:szCs w:val="20"/>
              </w:rPr>
            </w:pPr>
          </w:p>
        </w:tc>
      </w:tr>
      <w:tr w:rsidR="00570A21" w:rsidRPr="00C84AFC" w14:paraId="0B6E592F" w14:textId="77777777" w:rsidTr="00262A0E">
        <w:trPr>
          <w:trHeight w:val="255"/>
        </w:trPr>
        <w:tc>
          <w:tcPr>
            <w:tcW w:w="1731" w:type="pct"/>
            <w:tcBorders>
              <w:top w:val="nil"/>
              <w:left w:val="nil"/>
              <w:bottom w:val="nil"/>
              <w:right w:val="nil"/>
            </w:tcBorders>
            <w:shd w:val="clear" w:color="auto" w:fill="auto"/>
            <w:noWrap/>
            <w:vAlign w:val="bottom"/>
            <w:hideMark/>
          </w:tcPr>
          <w:p w14:paraId="45AA3E0E"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Property, plant and equipment</w:t>
            </w:r>
          </w:p>
        </w:tc>
        <w:tc>
          <w:tcPr>
            <w:tcW w:w="355" w:type="pct"/>
            <w:tcBorders>
              <w:top w:val="nil"/>
              <w:left w:val="nil"/>
              <w:bottom w:val="nil"/>
              <w:right w:val="nil"/>
            </w:tcBorders>
            <w:shd w:val="clear" w:color="auto" w:fill="auto"/>
            <w:noWrap/>
            <w:vAlign w:val="bottom"/>
            <w:hideMark/>
          </w:tcPr>
          <w:p w14:paraId="2F1B7208"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4AF279AB" w14:textId="4514D5BD"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   </w:t>
            </w:r>
          </w:p>
        </w:tc>
        <w:tc>
          <w:tcPr>
            <w:tcW w:w="136" w:type="pct"/>
            <w:tcBorders>
              <w:top w:val="nil"/>
              <w:left w:val="nil"/>
              <w:bottom w:val="nil"/>
              <w:right w:val="nil"/>
            </w:tcBorders>
            <w:shd w:val="clear" w:color="auto" w:fill="auto"/>
            <w:noWrap/>
            <w:vAlign w:val="bottom"/>
            <w:hideMark/>
          </w:tcPr>
          <w:p w14:paraId="53326A04"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5019ED93" w14:textId="09FEE539"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   </w:t>
            </w:r>
          </w:p>
        </w:tc>
        <w:tc>
          <w:tcPr>
            <w:tcW w:w="136" w:type="pct"/>
            <w:tcBorders>
              <w:top w:val="nil"/>
              <w:left w:val="nil"/>
              <w:bottom w:val="nil"/>
              <w:right w:val="nil"/>
            </w:tcBorders>
            <w:shd w:val="clear" w:color="auto" w:fill="auto"/>
            <w:noWrap/>
            <w:vAlign w:val="bottom"/>
            <w:hideMark/>
          </w:tcPr>
          <w:p w14:paraId="0DBBFD3E"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7FEEE905" w14:textId="1DDB63CA"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   </w:t>
            </w:r>
          </w:p>
        </w:tc>
      </w:tr>
      <w:tr w:rsidR="00570A21" w:rsidRPr="00C84AFC" w14:paraId="3F2B5D6F" w14:textId="77777777" w:rsidTr="00262A0E">
        <w:trPr>
          <w:trHeight w:val="255"/>
        </w:trPr>
        <w:tc>
          <w:tcPr>
            <w:tcW w:w="1731" w:type="pct"/>
            <w:tcBorders>
              <w:top w:val="nil"/>
              <w:left w:val="nil"/>
              <w:bottom w:val="nil"/>
              <w:right w:val="nil"/>
            </w:tcBorders>
            <w:shd w:val="clear" w:color="auto" w:fill="auto"/>
            <w:noWrap/>
            <w:vAlign w:val="bottom"/>
            <w:hideMark/>
          </w:tcPr>
          <w:p w14:paraId="23601700"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 xml:space="preserve">Investment </w:t>
            </w:r>
          </w:p>
        </w:tc>
        <w:tc>
          <w:tcPr>
            <w:tcW w:w="355" w:type="pct"/>
            <w:tcBorders>
              <w:top w:val="nil"/>
              <w:left w:val="nil"/>
              <w:bottom w:val="nil"/>
              <w:right w:val="nil"/>
            </w:tcBorders>
            <w:shd w:val="clear" w:color="auto" w:fill="auto"/>
            <w:noWrap/>
            <w:vAlign w:val="bottom"/>
            <w:hideMark/>
          </w:tcPr>
          <w:p w14:paraId="385F13F2" w14:textId="52C69D0D" w:rsidR="00393BAD" w:rsidRPr="00262A0E" w:rsidRDefault="00A752F6" w:rsidP="00262A0E">
            <w:pPr>
              <w:jc w:val="center"/>
              <w:rPr>
                <w:rFonts w:ascii="Calibri Light" w:hAnsi="Calibri Light" w:cs="Arial"/>
                <w:b/>
                <w:bCs/>
                <w:sz w:val="20"/>
                <w:szCs w:val="20"/>
              </w:rPr>
            </w:pPr>
            <w:r w:rsidRPr="00262A0E">
              <w:rPr>
                <w:rFonts w:ascii="Calibri Light" w:hAnsi="Calibri Light" w:cs="Arial"/>
                <w:b/>
                <w:bCs/>
                <w:sz w:val="20"/>
                <w:szCs w:val="20"/>
              </w:rPr>
              <w:t>5</w:t>
            </w:r>
          </w:p>
        </w:tc>
        <w:tc>
          <w:tcPr>
            <w:tcW w:w="891" w:type="pct"/>
            <w:tcBorders>
              <w:top w:val="nil"/>
              <w:left w:val="nil"/>
              <w:bottom w:val="nil"/>
              <w:right w:val="nil"/>
            </w:tcBorders>
            <w:shd w:val="clear" w:color="auto" w:fill="auto"/>
            <w:noWrap/>
            <w:vAlign w:val="bottom"/>
            <w:hideMark/>
          </w:tcPr>
          <w:p w14:paraId="328D068D" w14:textId="48FBF4DE"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w:t>
            </w:r>
            <w:r w:rsidR="006001CA" w:rsidRPr="00C84AFC">
              <w:rPr>
                <w:rFonts w:ascii="Calibri Light" w:hAnsi="Calibri Light" w:cs="Arial"/>
                <w:sz w:val="20"/>
                <w:szCs w:val="20"/>
              </w:rPr>
              <w:t>14,343,285</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67412EAE"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4AA8B2C9" w14:textId="4AA7A7D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4,109,225 </w:t>
            </w:r>
          </w:p>
        </w:tc>
        <w:tc>
          <w:tcPr>
            <w:tcW w:w="136" w:type="pct"/>
            <w:tcBorders>
              <w:top w:val="nil"/>
              <w:left w:val="nil"/>
              <w:bottom w:val="nil"/>
              <w:right w:val="nil"/>
            </w:tcBorders>
            <w:shd w:val="clear" w:color="auto" w:fill="auto"/>
            <w:noWrap/>
            <w:vAlign w:val="bottom"/>
            <w:hideMark/>
          </w:tcPr>
          <w:p w14:paraId="44DFA03C"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5213081F" w14:textId="5836D574"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6,697,305 </w:t>
            </w:r>
          </w:p>
        </w:tc>
      </w:tr>
      <w:tr w:rsidR="00570A21" w:rsidRPr="00C84AFC" w14:paraId="2AEF4AF1" w14:textId="77777777" w:rsidTr="00262A0E">
        <w:trPr>
          <w:trHeight w:val="255"/>
        </w:trPr>
        <w:tc>
          <w:tcPr>
            <w:tcW w:w="1731" w:type="pct"/>
            <w:tcBorders>
              <w:top w:val="nil"/>
              <w:left w:val="nil"/>
              <w:bottom w:val="nil"/>
              <w:right w:val="nil"/>
            </w:tcBorders>
            <w:shd w:val="clear" w:color="auto" w:fill="auto"/>
            <w:noWrap/>
            <w:vAlign w:val="bottom"/>
            <w:hideMark/>
          </w:tcPr>
          <w:p w14:paraId="4563130B"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Trade and other receivables</w:t>
            </w:r>
          </w:p>
        </w:tc>
        <w:tc>
          <w:tcPr>
            <w:tcW w:w="355" w:type="pct"/>
            <w:tcBorders>
              <w:top w:val="nil"/>
              <w:left w:val="nil"/>
              <w:bottom w:val="nil"/>
              <w:right w:val="nil"/>
            </w:tcBorders>
            <w:shd w:val="clear" w:color="auto" w:fill="auto"/>
            <w:noWrap/>
            <w:vAlign w:val="bottom"/>
            <w:hideMark/>
          </w:tcPr>
          <w:p w14:paraId="04DE68CA"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6366AE0D" w14:textId="5E0A303A"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3,463,038 </w:t>
            </w:r>
          </w:p>
        </w:tc>
        <w:tc>
          <w:tcPr>
            <w:tcW w:w="136" w:type="pct"/>
            <w:tcBorders>
              <w:top w:val="nil"/>
              <w:left w:val="nil"/>
              <w:bottom w:val="nil"/>
              <w:right w:val="nil"/>
            </w:tcBorders>
            <w:shd w:val="clear" w:color="auto" w:fill="auto"/>
            <w:noWrap/>
            <w:vAlign w:val="bottom"/>
            <w:hideMark/>
          </w:tcPr>
          <w:p w14:paraId="75300A0D"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4EFE930D" w14:textId="3B63E360"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1,058,766 </w:t>
            </w:r>
          </w:p>
        </w:tc>
        <w:tc>
          <w:tcPr>
            <w:tcW w:w="136" w:type="pct"/>
            <w:tcBorders>
              <w:top w:val="nil"/>
              <w:left w:val="nil"/>
              <w:bottom w:val="nil"/>
              <w:right w:val="nil"/>
            </w:tcBorders>
            <w:shd w:val="clear" w:color="auto" w:fill="auto"/>
            <w:noWrap/>
            <w:vAlign w:val="bottom"/>
            <w:hideMark/>
          </w:tcPr>
          <w:p w14:paraId="175C3D28"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48A2DC6E" w14:textId="3BE24630"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1,225,570 </w:t>
            </w:r>
          </w:p>
        </w:tc>
      </w:tr>
      <w:tr w:rsidR="00570A21" w:rsidRPr="00C84AFC" w14:paraId="4A4A0829" w14:textId="77777777" w:rsidTr="00262A0E">
        <w:trPr>
          <w:trHeight w:val="255"/>
        </w:trPr>
        <w:tc>
          <w:tcPr>
            <w:tcW w:w="1731" w:type="pct"/>
            <w:tcBorders>
              <w:top w:val="nil"/>
              <w:left w:val="nil"/>
              <w:bottom w:val="nil"/>
              <w:right w:val="nil"/>
            </w:tcBorders>
            <w:shd w:val="clear" w:color="auto" w:fill="auto"/>
            <w:noWrap/>
            <w:vAlign w:val="bottom"/>
            <w:hideMark/>
          </w:tcPr>
          <w:p w14:paraId="391AD75E"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55C5067E" w14:textId="77777777" w:rsidR="00393BAD" w:rsidRPr="00C84AFC" w:rsidRDefault="00393BAD">
            <w:pPr>
              <w:rPr>
                <w:rFonts w:ascii="Calibri Light" w:hAnsi="Calibri Light"/>
                <w:sz w:val="20"/>
                <w:szCs w:val="20"/>
              </w:rPr>
            </w:pPr>
          </w:p>
        </w:tc>
        <w:tc>
          <w:tcPr>
            <w:tcW w:w="891" w:type="pct"/>
            <w:tcBorders>
              <w:top w:val="single" w:sz="4" w:space="0" w:color="auto"/>
              <w:left w:val="nil"/>
              <w:bottom w:val="single" w:sz="4" w:space="0" w:color="auto"/>
              <w:right w:val="nil"/>
            </w:tcBorders>
            <w:shd w:val="clear" w:color="auto" w:fill="auto"/>
            <w:noWrap/>
            <w:vAlign w:val="bottom"/>
            <w:hideMark/>
          </w:tcPr>
          <w:p w14:paraId="0296E558" w14:textId="04EDCF9B"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1</w:t>
            </w:r>
            <w:r w:rsidR="006001CA" w:rsidRPr="00C84AFC">
              <w:rPr>
                <w:rFonts w:ascii="Calibri Light" w:hAnsi="Calibri Light" w:cs="Arial"/>
                <w:sz w:val="20"/>
                <w:szCs w:val="20"/>
              </w:rPr>
              <w:t>7,806</w:t>
            </w:r>
            <w:r w:rsidR="00247B86" w:rsidRPr="00C84AFC">
              <w:rPr>
                <w:rFonts w:ascii="Calibri Light" w:hAnsi="Calibri Light" w:cs="Arial"/>
                <w:sz w:val="20"/>
                <w:szCs w:val="20"/>
              </w:rPr>
              <w:t>,32</w:t>
            </w:r>
            <w:r w:rsidRPr="00C84AFC">
              <w:rPr>
                <w:rFonts w:ascii="Calibri Light" w:hAnsi="Calibri Light" w:cs="Arial"/>
                <w:sz w:val="20"/>
                <w:szCs w:val="20"/>
              </w:rPr>
              <w:t xml:space="preserve">3 </w:t>
            </w:r>
          </w:p>
        </w:tc>
        <w:tc>
          <w:tcPr>
            <w:tcW w:w="136" w:type="pct"/>
            <w:tcBorders>
              <w:top w:val="nil"/>
              <w:left w:val="nil"/>
              <w:bottom w:val="nil"/>
              <w:right w:val="nil"/>
            </w:tcBorders>
            <w:shd w:val="clear" w:color="auto" w:fill="auto"/>
            <w:noWrap/>
            <w:vAlign w:val="bottom"/>
            <w:hideMark/>
          </w:tcPr>
          <w:p w14:paraId="71E92513" w14:textId="77777777" w:rsidR="00393BAD" w:rsidRPr="00C84AFC" w:rsidRDefault="00393BAD" w:rsidP="00262688">
            <w:pPr>
              <w:jc w:val="right"/>
              <w:rPr>
                <w:rFonts w:ascii="Calibri Light" w:hAnsi="Calibri Light" w:cs="Arial"/>
                <w:sz w:val="20"/>
                <w:szCs w:val="20"/>
              </w:rPr>
            </w:pPr>
          </w:p>
        </w:tc>
        <w:tc>
          <w:tcPr>
            <w:tcW w:w="859" w:type="pct"/>
            <w:tcBorders>
              <w:top w:val="single" w:sz="4" w:space="0" w:color="auto"/>
              <w:left w:val="nil"/>
              <w:bottom w:val="single" w:sz="4" w:space="0" w:color="auto"/>
              <w:right w:val="nil"/>
            </w:tcBorders>
            <w:shd w:val="clear" w:color="auto" w:fill="auto"/>
            <w:noWrap/>
            <w:vAlign w:val="bottom"/>
            <w:hideMark/>
          </w:tcPr>
          <w:p w14:paraId="18404E61" w14:textId="5EF11BA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5,167,991 </w:t>
            </w:r>
          </w:p>
        </w:tc>
        <w:tc>
          <w:tcPr>
            <w:tcW w:w="136" w:type="pct"/>
            <w:tcBorders>
              <w:top w:val="nil"/>
              <w:left w:val="nil"/>
              <w:bottom w:val="nil"/>
              <w:right w:val="nil"/>
            </w:tcBorders>
            <w:shd w:val="clear" w:color="auto" w:fill="auto"/>
            <w:noWrap/>
            <w:vAlign w:val="bottom"/>
            <w:hideMark/>
          </w:tcPr>
          <w:p w14:paraId="760BAF2F" w14:textId="77777777" w:rsidR="00393BAD" w:rsidRPr="00C84AFC" w:rsidRDefault="00393BAD" w:rsidP="00262688">
            <w:pPr>
              <w:jc w:val="right"/>
              <w:rPr>
                <w:rFonts w:ascii="Calibri Light" w:hAnsi="Calibri Light" w:cs="Arial"/>
                <w:sz w:val="20"/>
                <w:szCs w:val="20"/>
              </w:rPr>
            </w:pPr>
          </w:p>
        </w:tc>
        <w:tc>
          <w:tcPr>
            <w:tcW w:w="892" w:type="pct"/>
            <w:tcBorders>
              <w:top w:val="single" w:sz="4" w:space="0" w:color="auto"/>
              <w:left w:val="nil"/>
              <w:bottom w:val="single" w:sz="4" w:space="0" w:color="auto"/>
              <w:right w:val="nil"/>
            </w:tcBorders>
            <w:shd w:val="clear" w:color="auto" w:fill="auto"/>
            <w:noWrap/>
            <w:vAlign w:val="bottom"/>
            <w:hideMark/>
          </w:tcPr>
          <w:p w14:paraId="394C9702" w14:textId="41837305"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7,922,875 </w:t>
            </w:r>
          </w:p>
        </w:tc>
      </w:tr>
      <w:tr w:rsidR="00570A21" w:rsidRPr="00C84AFC" w14:paraId="124016D4" w14:textId="77777777" w:rsidTr="00262A0E">
        <w:trPr>
          <w:trHeight w:val="120"/>
        </w:trPr>
        <w:tc>
          <w:tcPr>
            <w:tcW w:w="1731" w:type="pct"/>
            <w:tcBorders>
              <w:top w:val="nil"/>
              <w:left w:val="nil"/>
              <w:bottom w:val="nil"/>
              <w:right w:val="nil"/>
            </w:tcBorders>
            <w:shd w:val="clear" w:color="auto" w:fill="auto"/>
            <w:noWrap/>
            <w:vAlign w:val="bottom"/>
            <w:hideMark/>
          </w:tcPr>
          <w:p w14:paraId="1527DDF8"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357B3B1A"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53971D46"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74AF58C"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41BAE403"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39CA0D00"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17617E89" w14:textId="77777777" w:rsidR="00393BAD" w:rsidRPr="00C84AFC" w:rsidRDefault="00393BAD" w:rsidP="00393BAD">
            <w:pPr>
              <w:jc w:val="right"/>
              <w:rPr>
                <w:rFonts w:ascii="Calibri Light" w:hAnsi="Calibri Light"/>
                <w:sz w:val="20"/>
                <w:szCs w:val="20"/>
              </w:rPr>
            </w:pPr>
          </w:p>
        </w:tc>
      </w:tr>
      <w:tr w:rsidR="00570A21" w:rsidRPr="00C84AFC" w14:paraId="3E4F0E9A" w14:textId="77777777" w:rsidTr="00262A0E">
        <w:trPr>
          <w:trHeight w:val="300"/>
        </w:trPr>
        <w:tc>
          <w:tcPr>
            <w:tcW w:w="1731" w:type="pct"/>
            <w:tcBorders>
              <w:top w:val="nil"/>
              <w:left w:val="nil"/>
              <w:bottom w:val="nil"/>
              <w:right w:val="nil"/>
            </w:tcBorders>
            <w:shd w:val="clear" w:color="auto" w:fill="auto"/>
            <w:noWrap/>
            <w:vAlign w:val="bottom"/>
            <w:hideMark/>
          </w:tcPr>
          <w:p w14:paraId="3FB87A50"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CURRENT ASSETS</w:t>
            </w:r>
          </w:p>
        </w:tc>
        <w:tc>
          <w:tcPr>
            <w:tcW w:w="355" w:type="pct"/>
            <w:tcBorders>
              <w:top w:val="nil"/>
              <w:left w:val="nil"/>
              <w:bottom w:val="nil"/>
              <w:right w:val="nil"/>
            </w:tcBorders>
            <w:shd w:val="clear" w:color="auto" w:fill="auto"/>
            <w:noWrap/>
            <w:vAlign w:val="bottom"/>
            <w:hideMark/>
          </w:tcPr>
          <w:p w14:paraId="23392ADA"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632DB43A"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B67F666"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0E64A563"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6298408"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41BB022B" w14:textId="77777777" w:rsidR="00393BAD" w:rsidRPr="00C84AFC" w:rsidRDefault="00393BAD" w:rsidP="00393BAD">
            <w:pPr>
              <w:jc w:val="right"/>
              <w:rPr>
                <w:rFonts w:ascii="Calibri Light" w:hAnsi="Calibri Light"/>
                <w:sz w:val="20"/>
                <w:szCs w:val="20"/>
              </w:rPr>
            </w:pPr>
          </w:p>
        </w:tc>
      </w:tr>
      <w:tr w:rsidR="00570A21" w:rsidRPr="00C84AFC" w14:paraId="4D50F3C4" w14:textId="77777777" w:rsidTr="00262A0E">
        <w:trPr>
          <w:trHeight w:val="300"/>
        </w:trPr>
        <w:tc>
          <w:tcPr>
            <w:tcW w:w="1731" w:type="pct"/>
            <w:tcBorders>
              <w:top w:val="nil"/>
              <w:left w:val="nil"/>
              <w:bottom w:val="nil"/>
              <w:right w:val="nil"/>
            </w:tcBorders>
            <w:shd w:val="clear" w:color="auto" w:fill="auto"/>
            <w:noWrap/>
            <w:vAlign w:val="bottom"/>
            <w:hideMark/>
          </w:tcPr>
          <w:p w14:paraId="79F001C2"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Trade and other receivables</w:t>
            </w:r>
          </w:p>
        </w:tc>
        <w:tc>
          <w:tcPr>
            <w:tcW w:w="355" w:type="pct"/>
            <w:tcBorders>
              <w:top w:val="nil"/>
              <w:left w:val="nil"/>
              <w:bottom w:val="nil"/>
              <w:right w:val="nil"/>
            </w:tcBorders>
            <w:shd w:val="clear" w:color="auto" w:fill="auto"/>
            <w:noWrap/>
            <w:vAlign w:val="bottom"/>
            <w:hideMark/>
          </w:tcPr>
          <w:p w14:paraId="07806B30"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649CBFB7" w14:textId="13E6EDBF"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710,447 </w:t>
            </w:r>
          </w:p>
        </w:tc>
        <w:tc>
          <w:tcPr>
            <w:tcW w:w="136" w:type="pct"/>
            <w:tcBorders>
              <w:top w:val="nil"/>
              <w:left w:val="nil"/>
              <w:bottom w:val="nil"/>
              <w:right w:val="nil"/>
            </w:tcBorders>
            <w:shd w:val="clear" w:color="auto" w:fill="auto"/>
            <w:noWrap/>
            <w:vAlign w:val="bottom"/>
            <w:hideMark/>
          </w:tcPr>
          <w:p w14:paraId="6C73C0EB"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2FBCF7B9" w14:textId="7073573F"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921,364 </w:t>
            </w:r>
          </w:p>
        </w:tc>
        <w:tc>
          <w:tcPr>
            <w:tcW w:w="136" w:type="pct"/>
            <w:tcBorders>
              <w:top w:val="nil"/>
              <w:left w:val="nil"/>
              <w:bottom w:val="nil"/>
              <w:right w:val="nil"/>
            </w:tcBorders>
            <w:shd w:val="clear" w:color="auto" w:fill="auto"/>
            <w:noWrap/>
            <w:vAlign w:val="bottom"/>
            <w:hideMark/>
          </w:tcPr>
          <w:p w14:paraId="7F7853E3"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463729F2" w14:textId="542601E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841,502 </w:t>
            </w:r>
          </w:p>
        </w:tc>
      </w:tr>
      <w:tr w:rsidR="00570A21" w:rsidRPr="00C84AFC" w14:paraId="1062A406" w14:textId="77777777" w:rsidTr="00262A0E">
        <w:trPr>
          <w:trHeight w:val="300"/>
        </w:trPr>
        <w:tc>
          <w:tcPr>
            <w:tcW w:w="1731" w:type="pct"/>
            <w:tcBorders>
              <w:top w:val="nil"/>
              <w:left w:val="nil"/>
              <w:bottom w:val="nil"/>
              <w:right w:val="nil"/>
            </w:tcBorders>
            <w:shd w:val="clear" w:color="auto" w:fill="auto"/>
            <w:noWrap/>
            <w:vAlign w:val="bottom"/>
            <w:hideMark/>
          </w:tcPr>
          <w:p w14:paraId="35A491A7"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Cash and cash equivalents</w:t>
            </w:r>
          </w:p>
        </w:tc>
        <w:tc>
          <w:tcPr>
            <w:tcW w:w="355" w:type="pct"/>
            <w:tcBorders>
              <w:top w:val="nil"/>
              <w:left w:val="nil"/>
              <w:bottom w:val="nil"/>
              <w:right w:val="nil"/>
            </w:tcBorders>
            <w:shd w:val="clear" w:color="auto" w:fill="auto"/>
            <w:noWrap/>
            <w:vAlign w:val="bottom"/>
            <w:hideMark/>
          </w:tcPr>
          <w:p w14:paraId="05747948" w14:textId="77777777" w:rsidR="00393BAD" w:rsidRPr="00C84AFC" w:rsidRDefault="00393BAD">
            <w:pPr>
              <w:rPr>
                <w:rFonts w:ascii="Calibri Light" w:hAnsi="Calibri Light" w:cs="Arial"/>
                <w:sz w:val="20"/>
                <w:szCs w:val="20"/>
              </w:rPr>
            </w:pPr>
          </w:p>
        </w:tc>
        <w:tc>
          <w:tcPr>
            <w:tcW w:w="891" w:type="pct"/>
            <w:tcBorders>
              <w:top w:val="nil"/>
              <w:left w:val="nil"/>
              <w:bottom w:val="single" w:sz="4" w:space="0" w:color="auto"/>
              <w:right w:val="nil"/>
            </w:tcBorders>
            <w:shd w:val="clear" w:color="auto" w:fill="auto"/>
            <w:noWrap/>
            <w:vAlign w:val="bottom"/>
            <w:hideMark/>
          </w:tcPr>
          <w:p w14:paraId="605D68D1" w14:textId="600F9503"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181,628 </w:t>
            </w:r>
          </w:p>
        </w:tc>
        <w:tc>
          <w:tcPr>
            <w:tcW w:w="136" w:type="pct"/>
            <w:tcBorders>
              <w:top w:val="nil"/>
              <w:left w:val="nil"/>
              <w:bottom w:val="nil"/>
              <w:right w:val="nil"/>
            </w:tcBorders>
            <w:shd w:val="clear" w:color="auto" w:fill="auto"/>
            <w:noWrap/>
            <w:vAlign w:val="bottom"/>
            <w:hideMark/>
          </w:tcPr>
          <w:p w14:paraId="7A8AF376"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3FAAF865" w14:textId="50D4779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458,591 </w:t>
            </w:r>
          </w:p>
        </w:tc>
        <w:tc>
          <w:tcPr>
            <w:tcW w:w="136" w:type="pct"/>
            <w:tcBorders>
              <w:top w:val="nil"/>
              <w:left w:val="nil"/>
              <w:bottom w:val="nil"/>
              <w:right w:val="nil"/>
            </w:tcBorders>
            <w:shd w:val="clear" w:color="auto" w:fill="auto"/>
            <w:noWrap/>
            <w:vAlign w:val="bottom"/>
            <w:hideMark/>
          </w:tcPr>
          <w:p w14:paraId="1D07FE5B"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56B59D5C" w14:textId="5DD4EEA3"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220,060 </w:t>
            </w:r>
          </w:p>
        </w:tc>
      </w:tr>
      <w:tr w:rsidR="00570A21" w:rsidRPr="00C84AFC" w14:paraId="1665A37C" w14:textId="77777777" w:rsidTr="00262A0E">
        <w:trPr>
          <w:trHeight w:val="300"/>
        </w:trPr>
        <w:tc>
          <w:tcPr>
            <w:tcW w:w="1731" w:type="pct"/>
            <w:tcBorders>
              <w:top w:val="nil"/>
              <w:left w:val="nil"/>
              <w:bottom w:val="nil"/>
              <w:right w:val="nil"/>
            </w:tcBorders>
            <w:shd w:val="clear" w:color="auto" w:fill="auto"/>
            <w:noWrap/>
            <w:vAlign w:val="bottom"/>
            <w:hideMark/>
          </w:tcPr>
          <w:p w14:paraId="333B263D"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7F36C481" w14:textId="77777777" w:rsidR="00393BAD" w:rsidRPr="00C84AFC" w:rsidRDefault="00393BAD">
            <w:pPr>
              <w:rPr>
                <w:rFonts w:ascii="Calibri Light" w:hAnsi="Calibri Light"/>
                <w:sz w:val="20"/>
                <w:szCs w:val="20"/>
              </w:rPr>
            </w:pPr>
          </w:p>
        </w:tc>
        <w:tc>
          <w:tcPr>
            <w:tcW w:w="891" w:type="pct"/>
            <w:tcBorders>
              <w:top w:val="nil"/>
              <w:left w:val="nil"/>
              <w:bottom w:val="single" w:sz="4" w:space="0" w:color="auto"/>
              <w:right w:val="nil"/>
            </w:tcBorders>
            <w:shd w:val="clear" w:color="auto" w:fill="auto"/>
            <w:noWrap/>
            <w:vAlign w:val="bottom"/>
            <w:hideMark/>
          </w:tcPr>
          <w:p w14:paraId="731D7A9A" w14:textId="799DEE7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892,075 </w:t>
            </w:r>
          </w:p>
        </w:tc>
        <w:tc>
          <w:tcPr>
            <w:tcW w:w="136" w:type="pct"/>
            <w:tcBorders>
              <w:top w:val="nil"/>
              <w:left w:val="nil"/>
              <w:bottom w:val="nil"/>
              <w:right w:val="nil"/>
            </w:tcBorders>
            <w:shd w:val="clear" w:color="auto" w:fill="auto"/>
            <w:noWrap/>
            <w:vAlign w:val="bottom"/>
            <w:hideMark/>
          </w:tcPr>
          <w:p w14:paraId="4CF55BF5"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7BD5A323" w14:textId="3AD26103"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1,379,955 </w:t>
            </w:r>
          </w:p>
        </w:tc>
        <w:tc>
          <w:tcPr>
            <w:tcW w:w="136" w:type="pct"/>
            <w:tcBorders>
              <w:top w:val="nil"/>
              <w:left w:val="nil"/>
              <w:bottom w:val="nil"/>
              <w:right w:val="nil"/>
            </w:tcBorders>
            <w:shd w:val="clear" w:color="auto" w:fill="auto"/>
            <w:noWrap/>
            <w:vAlign w:val="bottom"/>
            <w:hideMark/>
          </w:tcPr>
          <w:p w14:paraId="4DE06D73"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35D3B8CF" w14:textId="48ADBA68"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1,061,562 </w:t>
            </w:r>
          </w:p>
        </w:tc>
      </w:tr>
      <w:tr w:rsidR="00570A21" w:rsidRPr="00C84AFC" w14:paraId="5837087B" w14:textId="77777777" w:rsidTr="00262A0E">
        <w:trPr>
          <w:trHeight w:val="120"/>
        </w:trPr>
        <w:tc>
          <w:tcPr>
            <w:tcW w:w="1731" w:type="pct"/>
            <w:tcBorders>
              <w:top w:val="nil"/>
              <w:left w:val="nil"/>
              <w:bottom w:val="nil"/>
              <w:right w:val="nil"/>
            </w:tcBorders>
            <w:shd w:val="clear" w:color="auto" w:fill="auto"/>
            <w:noWrap/>
            <w:vAlign w:val="bottom"/>
            <w:hideMark/>
          </w:tcPr>
          <w:p w14:paraId="543D8E0F"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587FB043"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3599D9E0" w14:textId="77777777" w:rsidR="00393BAD" w:rsidRPr="00C84AFC" w:rsidRDefault="00393BAD" w:rsidP="00262688">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A48308D" w14:textId="77777777" w:rsidR="00393BAD" w:rsidRPr="00C84AFC" w:rsidRDefault="00393BAD" w:rsidP="00262688">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6E7B8AAE" w14:textId="77777777" w:rsidR="00393BAD" w:rsidRPr="00C84AFC" w:rsidRDefault="00393BAD" w:rsidP="00262688">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14841FE9" w14:textId="77777777" w:rsidR="00393BAD" w:rsidRPr="00C84AFC" w:rsidRDefault="00393BAD" w:rsidP="00262688">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2BC8FA4C" w14:textId="77777777" w:rsidR="00393BAD" w:rsidRPr="00C84AFC" w:rsidRDefault="00393BAD" w:rsidP="00262688">
            <w:pPr>
              <w:jc w:val="right"/>
              <w:rPr>
                <w:rFonts w:ascii="Calibri Light" w:hAnsi="Calibri Light"/>
                <w:sz w:val="20"/>
                <w:szCs w:val="20"/>
              </w:rPr>
            </w:pPr>
          </w:p>
        </w:tc>
      </w:tr>
      <w:tr w:rsidR="00570A21" w:rsidRPr="00C84AFC" w14:paraId="0B604AEE" w14:textId="77777777" w:rsidTr="00262A0E">
        <w:trPr>
          <w:trHeight w:val="315"/>
        </w:trPr>
        <w:tc>
          <w:tcPr>
            <w:tcW w:w="1731" w:type="pct"/>
            <w:tcBorders>
              <w:top w:val="nil"/>
              <w:left w:val="nil"/>
              <w:bottom w:val="nil"/>
              <w:right w:val="nil"/>
            </w:tcBorders>
            <w:shd w:val="clear" w:color="auto" w:fill="auto"/>
            <w:noWrap/>
            <w:vAlign w:val="bottom"/>
            <w:hideMark/>
          </w:tcPr>
          <w:p w14:paraId="524D2C7A"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TOTAL ASSETS</w:t>
            </w:r>
          </w:p>
        </w:tc>
        <w:tc>
          <w:tcPr>
            <w:tcW w:w="355" w:type="pct"/>
            <w:tcBorders>
              <w:top w:val="nil"/>
              <w:left w:val="nil"/>
              <w:bottom w:val="nil"/>
              <w:right w:val="nil"/>
            </w:tcBorders>
            <w:shd w:val="clear" w:color="auto" w:fill="auto"/>
            <w:noWrap/>
            <w:vAlign w:val="bottom"/>
            <w:hideMark/>
          </w:tcPr>
          <w:p w14:paraId="75B01D55" w14:textId="77777777" w:rsidR="00393BAD" w:rsidRPr="00C84AFC" w:rsidRDefault="00393BAD">
            <w:pPr>
              <w:rPr>
                <w:rFonts w:ascii="Calibri Light" w:hAnsi="Calibri Light" w:cs="Arial"/>
                <w:b/>
                <w:bCs/>
                <w:sz w:val="20"/>
                <w:szCs w:val="20"/>
              </w:rPr>
            </w:pPr>
          </w:p>
        </w:tc>
        <w:tc>
          <w:tcPr>
            <w:tcW w:w="891" w:type="pct"/>
            <w:tcBorders>
              <w:top w:val="nil"/>
              <w:left w:val="nil"/>
              <w:bottom w:val="double" w:sz="6" w:space="0" w:color="auto"/>
              <w:right w:val="nil"/>
            </w:tcBorders>
            <w:shd w:val="clear" w:color="auto" w:fill="auto"/>
            <w:noWrap/>
            <w:vAlign w:val="bottom"/>
            <w:hideMark/>
          </w:tcPr>
          <w:p w14:paraId="00623DFE" w14:textId="32421073"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1</w:t>
            </w:r>
            <w:r w:rsidR="00247B86" w:rsidRPr="00C84AFC">
              <w:rPr>
                <w:rFonts w:ascii="Calibri Light" w:hAnsi="Calibri Light" w:cs="Arial"/>
                <w:sz w:val="20"/>
                <w:szCs w:val="20"/>
              </w:rPr>
              <w:t>8,698,398</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53F0F358" w14:textId="77777777" w:rsidR="00393BAD" w:rsidRPr="00C84AFC" w:rsidRDefault="00393BAD" w:rsidP="00262688">
            <w:pPr>
              <w:jc w:val="right"/>
              <w:rPr>
                <w:rFonts w:ascii="Calibri Light" w:hAnsi="Calibri Light" w:cs="Arial"/>
                <w:sz w:val="20"/>
                <w:szCs w:val="20"/>
              </w:rPr>
            </w:pPr>
          </w:p>
        </w:tc>
        <w:tc>
          <w:tcPr>
            <w:tcW w:w="859" w:type="pct"/>
            <w:tcBorders>
              <w:top w:val="nil"/>
              <w:left w:val="nil"/>
              <w:bottom w:val="double" w:sz="6" w:space="0" w:color="auto"/>
              <w:right w:val="nil"/>
            </w:tcBorders>
            <w:shd w:val="clear" w:color="auto" w:fill="auto"/>
            <w:noWrap/>
            <w:vAlign w:val="bottom"/>
            <w:hideMark/>
          </w:tcPr>
          <w:p w14:paraId="5DB4480B" w14:textId="5E72C2F2"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6,547,946 </w:t>
            </w:r>
          </w:p>
        </w:tc>
        <w:tc>
          <w:tcPr>
            <w:tcW w:w="136" w:type="pct"/>
            <w:tcBorders>
              <w:top w:val="nil"/>
              <w:left w:val="nil"/>
              <w:bottom w:val="nil"/>
              <w:right w:val="nil"/>
            </w:tcBorders>
            <w:shd w:val="clear" w:color="auto" w:fill="auto"/>
            <w:noWrap/>
            <w:vAlign w:val="bottom"/>
            <w:hideMark/>
          </w:tcPr>
          <w:p w14:paraId="683CA463" w14:textId="77777777" w:rsidR="00393BAD" w:rsidRPr="00C84AFC" w:rsidRDefault="00393BAD" w:rsidP="00262688">
            <w:pPr>
              <w:jc w:val="right"/>
              <w:rPr>
                <w:rFonts w:ascii="Calibri Light" w:hAnsi="Calibri Light" w:cs="Arial"/>
                <w:sz w:val="20"/>
                <w:szCs w:val="20"/>
              </w:rPr>
            </w:pPr>
          </w:p>
        </w:tc>
        <w:tc>
          <w:tcPr>
            <w:tcW w:w="892" w:type="pct"/>
            <w:tcBorders>
              <w:top w:val="nil"/>
              <w:left w:val="nil"/>
              <w:bottom w:val="double" w:sz="6" w:space="0" w:color="auto"/>
              <w:right w:val="nil"/>
            </w:tcBorders>
            <w:shd w:val="clear" w:color="auto" w:fill="auto"/>
            <w:noWrap/>
            <w:vAlign w:val="bottom"/>
            <w:hideMark/>
          </w:tcPr>
          <w:p w14:paraId="797B545C" w14:textId="67B1A11E" w:rsidR="00393BAD" w:rsidRPr="00C84AFC" w:rsidRDefault="00393BAD" w:rsidP="00262688">
            <w:pPr>
              <w:jc w:val="right"/>
              <w:rPr>
                <w:rFonts w:ascii="Calibri Light" w:hAnsi="Calibri Light" w:cs="Arial"/>
                <w:sz w:val="20"/>
                <w:szCs w:val="20"/>
              </w:rPr>
            </w:pPr>
            <w:r w:rsidRPr="00C84AFC">
              <w:rPr>
                <w:rFonts w:ascii="Calibri Light" w:hAnsi="Calibri Light" w:cs="Arial"/>
                <w:sz w:val="20"/>
                <w:szCs w:val="20"/>
              </w:rPr>
              <w:t xml:space="preserve">        8,984,437 </w:t>
            </w:r>
          </w:p>
        </w:tc>
      </w:tr>
      <w:tr w:rsidR="00570A21" w:rsidRPr="00C84AFC" w14:paraId="02BD2180" w14:textId="77777777" w:rsidTr="00262A0E">
        <w:trPr>
          <w:trHeight w:val="120"/>
        </w:trPr>
        <w:tc>
          <w:tcPr>
            <w:tcW w:w="1731" w:type="pct"/>
            <w:tcBorders>
              <w:top w:val="nil"/>
              <w:left w:val="nil"/>
              <w:bottom w:val="nil"/>
              <w:right w:val="nil"/>
            </w:tcBorders>
            <w:shd w:val="clear" w:color="auto" w:fill="auto"/>
            <w:noWrap/>
            <w:vAlign w:val="bottom"/>
            <w:hideMark/>
          </w:tcPr>
          <w:p w14:paraId="258F607C" w14:textId="77777777" w:rsidR="00393BAD" w:rsidRPr="00C84AFC" w:rsidRDefault="00393BAD">
            <w:pPr>
              <w:rPr>
                <w:rFonts w:ascii="Calibri Light" w:hAnsi="Calibri Light"/>
                <w:sz w:val="20"/>
                <w:szCs w:val="20"/>
              </w:rPr>
            </w:pPr>
          </w:p>
        </w:tc>
        <w:tc>
          <w:tcPr>
            <w:tcW w:w="355" w:type="pct"/>
            <w:tcBorders>
              <w:top w:val="nil"/>
              <w:left w:val="nil"/>
              <w:bottom w:val="nil"/>
              <w:right w:val="nil"/>
            </w:tcBorders>
            <w:shd w:val="clear" w:color="auto" w:fill="auto"/>
            <w:noWrap/>
            <w:vAlign w:val="bottom"/>
            <w:hideMark/>
          </w:tcPr>
          <w:p w14:paraId="087549B8"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1699D510"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268F89A7"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6BA0800A"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075CFE91"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159EA8C4" w14:textId="77777777" w:rsidR="00393BAD" w:rsidRPr="00C84AFC" w:rsidRDefault="00393BAD" w:rsidP="00393BAD">
            <w:pPr>
              <w:jc w:val="right"/>
              <w:rPr>
                <w:rFonts w:ascii="Calibri Light" w:hAnsi="Calibri Light"/>
                <w:sz w:val="20"/>
                <w:szCs w:val="20"/>
              </w:rPr>
            </w:pPr>
          </w:p>
        </w:tc>
      </w:tr>
      <w:tr w:rsidR="00570A21" w:rsidRPr="00C84AFC" w14:paraId="0CED97F1" w14:textId="77777777" w:rsidTr="00262A0E">
        <w:trPr>
          <w:trHeight w:val="300"/>
        </w:trPr>
        <w:tc>
          <w:tcPr>
            <w:tcW w:w="1731" w:type="pct"/>
            <w:tcBorders>
              <w:top w:val="nil"/>
              <w:left w:val="nil"/>
              <w:bottom w:val="nil"/>
              <w:right w:val="nil"/>
            </w:tcBorders>
            <w:shd w:val="clear" w:color="auto" w:fill="auto"/>
            <w:noWrap/>
            <w:vAlign w:val="bottom"/>
            <w:hideMark/>
          </w:tcPr>
          <w:p w14:paraId="2CBAEB1E"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EQUITY</w:t>
            </w:r>
          </w:p>
        </w:tc>
        <w:tc>
          <w:tcPr>
            <w:tcW w:w="355" w:type="pct"/>
            <w:tcBorders>
              <w:top w:val="nil"/>
              <w:left w:val="nil"/>
              <w:bottom w:val="nil"/>
              <w:right w:val="nil"/>
            </w:tcBorders>
            <w:shd w:val="clear" w:color="auto" w:fill="auto"/>
            <w:noWrap/>
            <w:vAlign w:val="bottom"/>
            <w:hideMark/>
          </w:tcPr>
          <w:p w14:paraId="19DA998C"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72414A73"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DD21FA1"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11143517"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F455F6A"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336A37DB" w14:textId="77777777" w:rsidR="00393BAD" w:rsidRPr="00C84AFC" w:rsidRDefault="00393BAD" w:rsidP="00393BAD">
            <w:pPr>
              <w:jc w:val="right"/>
              <w:rPr>
                <w:rFonts w:ascii="Calibri Light" w:hAnsi="Calibri Light"/>
                <w:sz w:val="20"/>
                <w:szCs w:val="20"/>
              </w:rPr>
            </w:pPr>
          </w:p>
        </w:tc>
      </w:tr>
      <w:tr w:rsidR="00570A21" w:rsidRPr="00C84AFC" w14:paraId="6FF412F5" w14:textId="77777777" w:rsidTr="00262A0E">
        <w:trPr>
          <w:trHeight w:val="300"/>
        </w:trPr>
        <w:tc>
          <w:tcPr>
            <w:tcW w:w="1731" w:type="pct"/>
            <w:tcBorders>
              <w:top w:val="nil"/>
              <w:left w:val="nil"/>
              <w:bottom w:val="nil"/>
              <w:right w:val="nil"/>
            </w:tcBorders>
            <w:shd w:val="clear" w:color="auto" w:fill="auto"/>
            <w:noWrap/>
            <w:vAlign w:val="bottom"/>
            <w:hideMark/>
          </w:tcPr>
          <w:p w14:paraId="11EAA1B1"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SHAREHOLDERS' EQUITY</w:t>
            </w:r>
          </w:p>
        </w:tc>
        <w:tc>
          <w:tcPr>
            <w:tcW w:w="355" w:type="pct"/>
            <w:tcBorders>
              <w:top w:val="nil"/>
              <w:left w:val="nil"/>
              <w:bottom w:val="nil"/>
              <w:right w:val="nil"/>
            </w:tcBorders>
            <w:shd w:val="clear" w:color="auto" w:fill="auto"/>
            <w:noWrap/>
            <w:vAlign w:val="bottom"/>
            <w:hideMark/>
          </w:tcPr>
          <w:p w14:paraId="7149AC0F"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325AB476"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5CC9D3D4"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45D0585D"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4DAB449"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35433FD1" w14:textId="77777777" w:rsidR="00393BAD" w:rsidRPr="00C84AFC" w:rsidRDefault="00393BAD" w:rsidP="00393BAD">
            <w:pPr>
              <w:jc w:val="right"/>
              <w:rPr>
                <w:rFonts w:ascii="Calibri Light" w:hAnsi="Calibri Light"/>
                <w:sz w:val="20"/>
                <w:szCs w:val="20"/>
              </w:rPr>
            </w:pPr>
          </w:p>
        </w:tc>
      </w:tr>
      <w:tr w:rsidR="00570A21" w:rsidRPr="00C84AFC" w14:paraId="61BDEA22" w14:textId="77777777" w:rsidTr="00262A0E">
        <w:trPr>
          <w:trHeight w:val="300"/>
        </w:trPr>
        <w:tc>
          <w:tcPr>
            <w:tcW w:w="1731" w:type="pct"/>
            <w:tcBorders>
              <w:top w:val="nil"/>
              <w:left w:val="nil"/>
              <w:bottom w:val="nil"/>
              <w:right w:val="nil"/>
            </w:tcBorders>
            <w:shd w:val="clear" w:color="auto" w:fill="auto"/>
            <w:noWrap/>
            <w:vAlign w:val="bottom"/>
            <w:hideMark/>
          </w:tcPr>
          <w:p w14:paraId="01883FA3"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Called up share capital</w:t>
            </w:r>
          </w:p>
        </w:tc>
        <w:tc>
          <w:tcPr>
            <w:tcW w:w="355" w:type="pct"/>
            <w:tcBorders>
              <w:top w:val="nil"/>
              <w:left w:val="nil"/>
              <w:bottom w:val="nil"/>
              <w:right w:val="nil"/>
            </w:tcBorders>
            <w:shd w:val="clear" w:color="auto" w:fill="auto"/>
            <w:noWrap/>
            <w:vAlign w:val="bottom"/>
            <w:hideMark/>
          </w:tcPr>
          <w:p w14:paraId="62FE02CA"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45BDF087" w14:textId="17A162EC"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7,200,272 </w:t>
            </w:r>
          </w:p>
        </w:tc>
        <w:tc>
          <w:tcPr>
            <w:tcW w:w="136" w:type="pct"/>
            <w:tcBorders>
              <w:top w:val="nil"/>
              <w:left w:val="nil"/>
              <w:bottom w:val="nil"/>
              <w:right w:val="nil"/>
            </w:tcBorders>
            <w:shd w:val="clear" w:color="auto" w:fill="auto"/>
            <w:noWrap/>
            <w:vAlign w:val="bottom"/>
            <w:hideMark/>
          </w:tcPr>
          <w:p w14:paraId="22C134A0" w14:textId="77777777" w:rsidR="00393BAD" w:rsidRPr="00C84AFC" w:rsidRDefault="00393BAD" w:rsidP="00980AD9">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690C9FD6" w14:textId="255CB34E"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7,085,589 </w:t>
            </w:r>
          </w:p>
        </w:tc>
        <w:tc>
          <w:tcPr>
            <w:tcW w:w="136" w:type="pct"/>
            <w:tcBorders>
              <w:top w:val="nil"/>
              <w:left w:val="nil"/>
              <w:bottom w:val="nil"/>
              <w:right w:val="nil"/>
            </w:tcBorders>
            <w:shd w:val="clear" w:color="auto" w:fill="auto"/>
            <w:noWrap/>
            <w:vAlign w:val="bottom"/>
            <w:hideMark/>
          </w:tcPr>
          <w:p w14:paraId="245CBA0C" w14:textId="77777777" w:rsidR="00393BAD" w:rsidRPr="00C84AFC" w:rsidRDefault="00393BAD" w:rsidP="00980AD9">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145A2804" w14:textId="66FC8476"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7,124,355 </w:t>
            </w:r>
          </w:p>
        </w:tc>
      </w:tr>
      <w:tr w:rsidR="00570A21" w:rsidRPr="00C84AFC" w14:paraId="598686E3" w14:textId="77777777" w:rsidTr="00262A0E">
        <w:trPr>
          <w:trHeight w:val="300"/>
        </w:trPr>
        <w:tc>
          <w:tcPr>
            <w:tcW w:w="1731" w:type="pct"/>
            <w:tcBorders>
              <w:top w:val="nil"/>
              <w:left w:val="nil"/>
              <w:bottom w:val="nil"/>
              <w:right w:val="nil"/>
            </w:tcBorders>
            <w:shd w:val="clear" w:color="auto" w:fill="auto"/>
            <w:noWrap/>
            <w:vAlign w:val="bottom"/>
            <w:hideMark/>
          </w:tcPr>
          <w:p w14:paraId="4DCBFB88"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Share premium account</w:t>
            </w:r>
          </w:p>
        </w:tc>
        <w:tc>
          <w:tcPr>
            <w:tcW w:w="355" w:type="pct"/>
            <w:tcBorders>
              <w:top w:val="nil"/>
              <w:left w:val="nil"/>
              <w:bottom w:val="nil"/>
              <w:right w:val="nil"/>
            </w:tcBorders>
            <w:shd w:val="clear" w:color="auto" w:fill="auto"/>
            <w:noWrap/>
            <w:vAlign w:val="bottom"/>
            <w:hideMark/>
          </w:tcPr>
          <w:p w14:paraId="257D80CD"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5AC2FDA1" w14:textId="007299A2"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14,051,552 </w:t>
            </w:r>
          </w:p>
        </w:tc>
        <w:tc>
          <w:tcPr>
            <w:tcW w:w="136" w:type="pct"/>
            <w:tcBorders>
              <w:top w:val="nil"/>
              <w:left w:val="nil"/>
              <w:bottom w:val="nil"/>
              <w:right w:val="nil"/>
            </w:tcBorders>
            <w:shd w:val="clear" w:color="auto" w:fill="auto"/>
            <w:noWrap/>
            <w:vAlign w:val="bottom"/>
            <w:hideMark/>
          </w:tcPr>
          <w:p w14:paraId="0588FC6F" w14:textId="77777777" w:rsidR="00393BAD" w:rsidRPr="00C84AFC" w:rsidRDefault="00393BAD" w:rsidP="00980AD9">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7348D3DC" w14:textId="477C8B81"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10,855,416 </w:t>
            </w:r>
          </w:p>
        </w:tc>
        <w:tc>
          <w:tcPr>
            <w:tcW w:w="136" w:type="pct"/>
            <w:tcBorders>
              <w:top w:val="nil"/>
              <w:left w:val="nil"/>
              <w:bottom w:val="nil"/>
              <w:right w:val="nil"/>
            </w:tcBorders>
            <w:shd w:val="clear" w:color="auto" w:fill="auto"/>
            <w:noWrap/>
            <w:vAlign w:val="bottom"/>
            <w:hideMark/>
          </w:tcPr>
          <w:p w14:paraId="4BF49F33" w14:textId="77777777" w:rsidR="00393BAD" w:rsidRPr="00C84AFC" w:rsidRDefault="00393BAD" w:rsidP="00980AD9">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028C402C" w14:textId="1000C1CA"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11,599,333 </w:t>
            </w:r>
          </w:p>
        </w:tc>
      </w:tr>
      <w:tr w:rsidR="00570A21" w:rsidRPr="00C84AFC" w14:paraId="5319CE63" w14:textId="77777777" w:rsidTr="00262A0E">
        <w:trPr>
          <w:trHeight w:val="300"/>
        </w:trPr>
        <w:tc>
          <w:tcPr>
            <w:tcW w:w="1731" w:type="pct"/>
            <w:tcBorders>
              <w:top w:val="nil"/>
              <w:left w:val="nil"/>
              <w:bottom w:val="nil"/>
              <w:right w:val="nil"/>
            </w:tcBorders>
            <w:shd w:val="clear" w:color="auto" w:fill="auto"/>
            <w:noWrap/>
            <w:vAlign w:val="bottom"/>
            <w:hideMark/>
          </w:tcPr>
          <w:p w14:paraId="18F1A76F"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Capital redemption reserve</w:t>
            </w:r>
          </w:p>
        </w:tc>
        <w:tc>
          <w:tcPr>
            <w:tcW w:w="355" w:type="pct"/>
            <w:tcBorders>
              <w:top w:val="nil"/>
              <w:left w:val="nil"/>
              <w:bottom w:val="nil"/>
              <w:right w:val="nil"/>
            </w:tcBorders>
            <w:shd w:val="clear" w:color="auto" w:fill="auto"/>
            <w:noWrap/>
            <w:vAlign w:val="bottom"/>
            <w:hideMark/>
          </w:tcPr>
          <w:p w14:paraId="09B10633"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674780D5" w14:textId="44961FE9"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43,333 </w:t>
            </w:r>
          </w:p>
        </w:tc>
        <w:tc>
          <w:tcPr>
            <w:tcW w:w="136" w:type="pct"/>
            <w:tcBorders>
              <w:top w:val="nil"/>
              <w:left w:val="nil"/>
              <w:bottom w:val="nil"/>
              <w:right w:val="nil"/>
            </w:tcBorders>
            <w:shd w:val="clear" w:color="auto" w:fill="auto"/>
            <w:noWrap/>
            <w:vAlign w:val="bottom"/>
            <w:hideMark/>
          </w:tcPr>
          <w:p w14:paraId="3D264EF6" w14:textId="77777777" w:rsidR="00393BAD" w:rsidRPr="00C84AFC" w:rsidRDefault="00393BAD" w:rsidP="00980AD9">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01AFF635" w14:textId="5F64B379"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43,333 </w:t>
            </w:r>
          </w:p>
        </w:tc>
        <w:tc>
          <w:tcPr>
            <w:tcW w:w="136" w:type="pct"/>
            <w:tcBorders>
              <w:top w:val="nil"/>
              <w:left w:val="nil"/>
              <w:bottom w:val="nil"/>
              <w:right w:val="nil"/>
            </w:tcBorders>
            <w:shd w:val="clear" w:color="auto" w:fill="auto"/>
            <w:noWrap/>
            <w:vAlign w:val="bottom"/>
            <w:hideMark/>
          </w:tcPr>
          <w:p w14:paraId="568503A1" w14:textId="77777777" w:rsidR="00393BAD" w:rsidRPr="00C84AFC" w:rsidRDefault="00393BAD" w:rsidP="00980AD9">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47E9100E" w14:textId="05A4BBA1"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43,333 </w:t>
            </w:r>
          </w:p>
        </w:tc>
      </w:tr>
      <w:tr w:rsidR="00570A21" w:rsidRPr="00C84AFC" w14:paraId="74A0AA8A" w14:textId="77777777" w:rsidTr="00262A0E">
        <w:trPr>
          <w:trHeight w:val="300"/>
        </w:trPr>
        <w:tc>
          <w:tcPr>
            <w:tcW w:w="1731" w:type="pct"/>
            <w:tcBorders>
              <w:top w:val="nil"/>
              <w:left w:val="nil"/>
              <w:bottom w:val="nil"/>
              <w:right w:val="nil"/>
            </w:tcBorders>
            <w:shd w:val="clear" w:color="auto" w:fill="auto"/>
            <w:noWrap/>
            <w:vAlign w:val="bottom"/>
            <w:hideMark/>
          </w:tcPr>
          <w:p w14:paraId="200F9BFC"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Merger reserve</w:t>
            </w:r>
          </w:p>
        </w:tc>
        <w:tc>
          <w:tcPr>
            <w:tcW w:w="355" w:type="pct"/>
            <w:tcBorders>
              <w:top w:val="nil"/>
              <w:left w:val="nil"/>
              <w:bottom w:val="nil"/>
              <w:right w:val="nil"/>
            </w:tcBorders>
            <w:shd w:val="clear" w:color="auto" w:fill="auto"/>
            <w:noWrap/>
            <w:vAlign w:val="bottom"/>
            <w:hideMark/>
          </w:tcPr>
          <w:p w14:paraId="11DFDB3B"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53EA2140" w14:textId="084DCA26"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2,416,667 </w:t>
            </w:r>
          </w:p>
        </w:tc>
        <w:tc>
          <w:tcPr>
            <w:tcW w:w="136" w:type="pct"/>
            <w:tcBorders>
              <w:top w:val="nil"/>
              <w:left w:val="nil"/>
              <w:bottom w:val="nil"/>
              <w:right w:val="nil"/>
            </w:tcBorders>
            <w:shd w:val="clear" w:color="auto" w:fill="auto"/>
            <w:noWrap/>
            <w:vAlign w:val="bottom"/>
            <w:hideMark/>
          </w:tcPr>
          <w:p w14:paraId="580A84A4" w14:textId="77777777" w:rsidR="00393BAD" w:rsidRPr="00C84AFC" w:rsidRDefault="00393BAD" w:rsidP="00980AD9">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268F731A" w14:textId="2B50C988"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2,416,667 </w:t>
            </w:r>
          </w:p>
        </w:tc>
        <w:tc>
          <w:tcPr>
            <w:tcW w:w="136" w:type="pct"/>
            <w:tcBorders>
              <w:top w:val="nil"/>
              <w:left w:val="nil"/>
              <w:bottom w:val="nil"/>
              <w:right w:val="nil"/>
            </w:tcBorders>
            <w:shd w:val="clear" w:color="auto" w:fill="auto"/>
            <w:noWrap/>
            <w:vAlign w:val="bottom"/>
            <w:hideMark/>
          </w:tcPr>
          <w:p w14:paraId="683F7905" w14:textId="77777777" w:rsidR="00393BAD" w:rsidRPr="00C84AFC" w:rsidRDefault="00393BAD" w:rsidP="00980AD9">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6612A714" w14:textId="7E59951F"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2,416,667 </w:t>
            </w:r>
          </w:p>
        </w:tc>
      </w:tr>
      <w:tr w:rsidR="00570A21" w:rsidRPr="00C84AFC" w14:paraId="43596E74" w14:textId="77777777" w:rsidTr="00262A0E">
        <w:trPr>
          <w:trHeight w:val="300"/>
        </w:trPr>
        <w:tc>
          <w:tcPr>
            <w:tcW w:w="1731" w:type="pct"/>
            <w:tcBorders>
              <w:top w:val="nil"/>
              <w:left w:val="nil"/>
              <w:bottom w:val="nil"/>
              <w:right w:val="nil"/>
            </w:tcBorders>
            <w:shd w:val="clear" w:color="auto" w:fill="auto"/>
            <w:noWrap/>
            <w:vAlign w:val="bottom"/>
            <w:hideMark/>
          </w:tcPr>
          <w:p w14:paraId="52BB6F23"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Fair value reserve</w:t>
            </w:r>
          </w:p>
        </w:tc>
        <w:tc>
          <w:tcPr>
            <w:tcW w:w="355" w:type="pct"/>
            <w:tcBorders>
              <w:top w:val="nil"/>
              <w:left w:val="nil"/>
              <w:bottom w:val="nil"/>
              <w:right w:val="nil"/>
            </w:tcBorders>
            <w:shd w:val="clear" w:color="auto" w:fill="auto"/>
            <w:noWrap/>
            <w:vAlign w:val="bottom"/>
            <w:hideMark/>
          </w:tcPr>
          <w:p w14:paraId="7BA3670E"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46B58004" w14:textId="2B7DECE3"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w:t>
            </w:r>
            <w:r w:rsidR="00247B86" w:rsidRPr="00C84AFC">
              <w:rPr>
                <w:rFonts w:ascii="Calibri Light" w:hAnsi="Calibri Light" w:cs="Arial"/>
                <w:sz w:val="20"/>
                <w:szCs w:val="20"/>
              </w:rPr>
              <w:t>11,801,302</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3BFD0414" w14:textId="77777777" w:rsidR="00393BAD" w:rsidRPr="00C84AFC" w:rsidRDefault="00393BAD" w:rsidP="00980AD9">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749238F2" w14:textId="31912530"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   </w:t>
            </w:r>
          </w:p>
        </w:tc>
        <w:tc>
          <w:tcPr>
            <w:tcW w:w="136" w:type="pct"/>
            <w:tcBorders>
              <w:top w:val="nil"/>
              <w:left w:val="nil"/>
              <w:bottom w:val="nil"/>
              <w:right w:val="nil"/>
            </w:tcBorders>
            <w:shd w:val="clear" w:color="auto" w:fill="auto"/>
            <w:noWrap/>
            <w:vAlign w:val="bottom"/>
            <w:hideMark/>
          </w:tcPr>
          <w:p w14:paraId="289F9945" w14:textId="77777777" w:rsidR="00393BAD" w:rsidRPr="00C84AFC" w:rsidRDefault="00393BAD" w:rsidP="00980AD9">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0DC7C190" w14:textId="171DBA6D" w:rsidR="00393BAD" w:rsidRPr="00C84AFC" w:rsidRDefault="00393BAD" w:rsidP="00980AD9">
            <w:pPr>
              <w:jc w:val="right"/>
              <w:rPr>
                <w:rFonts w:ascii="Calibri Light" w:hAnsi="Calibri Light" w:cs="Arial"/>
                <w:sz w:val="20"/>
                <w:szCs w:val="20"/>
              </w:rPr>
            </w:pPr>
            <w:r w:rsidRPr="00C84AFC">
              <w:rPr>
                <w:rFonts w:ascii="Calibri Light" w:hAnsi="Calibri Light" w:cs="Arial"/>
                <w:sz w:val="20"/>
                <w:szCs w:val="20"/>
              </w:rPr>
              <w:t xml:space="preserve">        6,067,267 </w:t>
            </w:r>
          </w:p>
        </w:tc>
      </w:tr>
      <w:tr w:rsidR="00570A21" w:rsidRPr="00C84AFC" w14:paraId="03F83AC2" w14:textId="77777777" w:rsidTr="00262A0E">
        <w:trPr>
          <w:trHeight w:val="300"/>
        </w:trPr>
        <w:tc>
          <w:tcPr>
            <w:tcW w:w="1731" w:type="pct"/>
            <w:tcBorders>
              <w:top w:val="nil"/>
              <w:left w:val="nil"/>
              <w:bottom w:val="nil"/>
              <w:right w:val="nil"/>
            </w:tcBorders>
            <w:shd w:val="clear" w:color="auto" w:fill="auto"/>
            <w:noWrap/>
            <w:vAlign w:val="bottom"/>
            <w:hideMark/>
          </w:tcPr>
          <w:p w14:paraId="58EF3A5F"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Retained earnings</w:t>
            </w:r>
          </w:p>
        </w:tc>
        <w:tc>
          <w:tcPr>
            <w:tcW w:w="355" w:type="pct"/>
            <w:tcBorders>
              <w:top w:val="nil"/>
              <w:left w:val="nil"/>
              <w:bottom w:val="nil"/>
              <w:right w:val="nil"/>
            </w:tcBorders>
            <w:shd w:val="clear" w:color="auto" w:fill="auto"/>
            <w:noWrap/>
            <w:vAlign w:val="bottom"/>
            <w:hideMark/>
          </w:tcPr>
          <w:p w14:paraId="6C9F2D5E" w14:textId="77777777" w:rsidR="00393BAD" w:rsidRPr="00C84AFC" w:rsidRDefault="00393BAD">
            <w:pPr>
              <w:rPr>
                <w:rFonts w:ascii="Calibri Light" w:hAnsi="Calibri Light" w:cs="Arial"/>
                <w:sz w:val="20"/>
                <w:szCs w:val="20"/>
              </w:rPr>
            </w:pPr>
          </w:p>
        </w:tc>
        <w:tc>
          <w:tcPr>
            <w:tcW w:w="891" w:type="pct"/>
            <w:tcBorders>
              <w:top w:val="nil"/>
              <w:left w:val="nil"/>
              <w:bottom w:val="single" w:sz="4" w:space="0" w:color="auto"/>
              <w:right w:val="nil"/>
            </w:tcBorders>
            <w:shd w:val="clear" w:color="auto" w:fill="auto"/>
            <w:noWrap/>
            <w:vAlign w:val="bottom"/>
            <w:hideMark/>
          </w:tcPr>
          <w:p w14:paraId="319C6DB4" w14:textId="77777777" w:rsidR="00393BAD" w:rsidRPr="00C84AFC" w:rsidRDefault="00393BAD" w:rsidP="00393BAD">
            <w:pPr>
              <w:ind w:right="-57"/>
              <w:jc w:val="right"/>
              <w:rPr>
                <w:rFonts w:ascii="Calibri Light" w:hAnsi="Calibri Light" w:cs="Arial"/>
                <w:sz w:val="20"/>
                <w:szCs w:val="20"/>
              </w:rPr>
            </w:pPr>
            <w:r w:rsidRPr="00C84AFC">
              <w:rPr>
                <w:rFonts w:ascii="Calibri Light" w:hAnsi="Calibri Light" w:cs="Arial"/>
                <w:color w:val="FF0000"/>
                <w:sz w:val="20"/>
                <w:szCs w:val="20"/>
              </w:rPr>
              <w:t>(19,181,498)</w:t>
            </w:r>
          </w:p>
        </w:tc>
        <w:tc>
          <w:tcPr>
            <w:tcW w:w="136" w:type="pct"/>
            <w:tcBorders>
              <w:top w:val="nil"/>
              <w:left w:val="nil"/>
              <w:bottom w:val="nil"/>
              <w:right w:val="nil"/>
            </w:tcBorders>
            <w:shd w:val="clear" w:color="auto" w:fill="auto"/>
            <w:noWrap/>
            <w:vAlign w:val="bottom"/>
            <w:hideMark/>
          </w:tcPr>
          <w:p w14:paraId="59296449" w14:textId="77777777" w:rsidR="00393BAD" w:rsidRPr="00C84AFC" w:rsidRDefault="00393BAD" w:rsidP="00393BAD">
            <w:pPr>
              <w:ind w:right="-57"/>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23F932D1" w14:textId="77777777" w:rsidR="00393BAD" w:rsidRPr="00C84AFC" w:rsidRDefault="00393BAD" w:rsidP="00393BAD">
            <w:pPr>
              <w:ind w:right="-57"/>
              <w:jc w:val="right"/>
              <w:rPr>
                <w:rFonts w:ascii="Calibri Light" w:hAnsi="Calibri Light" w:cs="Arial"/>
                <w:sz w:val="20"/>
                <w:szCs w:val="20"/>
              </w:rPr>
            </w:pPr>
            <w:r w:rsidRPr="00C84AFC">
              <w:rPr>
                <w:rFonts w:ascii="Calibri Light" w:hAnsi="Calibri Light" w:cs="Arial"/>
                <w:color w:val="FF0000"/>
                <w:sz w:val="20"/>
                <w:szCs w:val="20"/>
              </w:rPr>
              <w:t>(14,835,674)</w:t>
            </w:r>
          </w:p>
        </w:tc>
        <w:tc>
          <w:tcPr>
            <w:tcW w:w="136" w:type="pct"/>
            <w:tcBorders>
              <w:top w:val="nil"/>
              <w:left w:val="nil"/>
              <w:bottom w:val="nil"/>
              <w:right w:val="nil"/>
            </w:tcBorders>
            <w:shd w:val="clear" w:color="auto" w:fill="auto"/>
            <w:noWrap/>
            <w:vAlign w:val="bottom"/>
            <w:hideMark/>
          </w:tcPr>
          <w:p w14:paraId="2A1F3DCA" w14:textId="77777777" w:rsidR="00393BAD" w:rsidRPr="00C84AFC" w:rsidRDefault="00393BAD" w:rsidP="00393BAD">
            <w:pPr>
              <w:ind w:right="-57"/>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0B923B43" w14:textId="77777777" w:rsidR="00393BAD" w:rsidRPr="00C84AFC" w:rsidRDefault="00393BAD" w:rsidP="00393BAD">
            <w:pPr>
              <w:ind w:right="-57"/>
              <w:jc w:val="right"/>
              <w:rPr>
                <w:rFonts w:ascii="Calibri Light" w:hAnsi="Calibri Light" w:cs="Arial"/>
                <w:sz w:val="20"/>
                <w:szCs w:val="20"/>
              </w:rPr>
            </w:pPr>
            <w:r w:rsidRPr="00C84AFC">
              <w:rPr>
                <w:rFonts w:ascii="Calibri Light" w:hAnsi="Calibri Light" w:cs="Arial"/>
                <w:color w:val="FF0000"/>
                <w:sz w:val="20"/>
                <w:szCs w:val="20"/>
              </w:rPr>
              <w:t>(18,748,005)</w:t>
            </w:r>
          </w:p>
        </w:tc>
      </w:tr>
      <w:tr w:rsidR="00570A21" w:rsidRPr="00C84AFC" w14:paraId="1DBB58C2" w14:textId="77777777" w:rsidTr="00262A0E">
        <w:trPr>
          <w:trHeight w:val="300"/>
        </w:trPr>
        <w:tc>
          <w:tcPr>
            <w:tcW w:w="1731" w:type="pct"/>
            <w:tcBorders>
              <w:top w:val="nil"/>
              <w:left w:val="nil"/>
              <w:bottom w:val="nil"/>
              <w:right w:val="nil"/>
            </w:tcBorders>
            <w:shd w:val="clear" w:color="auto" w:fill="auto"/>
            <w:noWrap/>
            <w:vAlign w:val="bottom"/>
            <w:hideMark/>
          </w:tcPr>
          <w:p w14:paraId="1FF99665"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TOTAL EQUITY</w:t>
            </w:r>
          </w:p>
        </w:tc>
        <w:tc>
          <w:tcPr>
            <w:tcW w:w="355" w:type="pct"/>
            <w:tcBorders>
              <w:top w:val="nil"/>
              <w:left w:val="nil"/>
              <w:bottom w:val="nil"/>
              <w:right w:val="nil"/>
            </w:tcBorders>
            <w:shd w:val="clear" w:color="auto" w:fill="auto"/>
            <w:noWrap/>
            <w:vAlign w:val="bottom"/>
            <w:hideMark/>
          </w:tcPr>
          <w:p w14:paraId="450B67A6" w14:textId="77777777" w:rsidR="00393BAD" w:rsidRPr="00C84AFC" w:rsidRDefault="00393BAD">
            <w:pPr>
              <w:rPr>
                <w:rFonts w:ascii="Calibri Light" w:hAnsi="Calibri Light" w:cs="Arial"/>
                <w:b/>
                <w:bCs/>
                <w:sz w:val="20"/>
                <w:szCs w:val="20"/>
              </w:rPr>
            </w:pPr>
          </w:p>
        </w:tc>
        <w:tc>
          <w:tcPr>
            <w:tcW w:w="891" w:type="pct"/>
            <w:tcBorders>
              <w:top w:val="nil"/>
              <w:left w:val="nil"/>
              <w:bottom w:val="single" w:sz="4" w:space="0" w:color="auto"/>
              <w:right w:val="nil"/>
            </w:tcBorders>
            <w:shd w:val="clear" w:color="auto" w:fill="auto"/>
            <w:noWrap/>
            <w:vAlign w:val="bottom"/>
            <w:hideMark/>
          </w:tcPr>
          <w:p w14:paraId="619425AB" w14:textId="18F58387" w:rsidR="00393BAD" w:rsidRPr="00C84AFC" w:rsidRDefault="00393BAD" w:rsidP="001B13E2">
            <w:pPr>
              <w:jc w:val="right"/>
              <w:rPr>
                <w:rFonts w:ascii="Calibri Light" w:hAnsi="Calibri Light" w:cs="Arial"/>
                <w:sz w:val="20"/>
                <w:szCs w:val="20"/>
              </w:rPr>
            </w:pPr>
            <w:r w:rsidRPr="00C84AFC">
              <w:rPr>
                <w:rFonts w:ascii="Calibri Light" w:hAnsi="Calibri Light" w:cs="Arial"/>
                <w:sz w:val="20"/>
                <w:szCs w:val="20"/>
              </w:rPr>
              <w:t xml:space="preserve">      1</w:t>
            </w:r>
            <w:r w:rsidR="00DF459C" w:rsidRPr="00C84AFC">
              <w:rPr>
                <w:rFonts w:ascii="Calibri Light" w:hAnsi="Calibri Light" w:cs="Arial"/>
                <w:sz w:val="20"/>
                <w:szCs w:val="20"/>
              </w:rPr>
              <w:t>6</w:t>
            </w:r>
            <w:r w:rsidRPr="00C84AFC">
              <w:rPr>
                <w:rFonts w:ascii="Calibri Light" w:hAnsi="Calibri Light" w:cs="Arial"/>
                <w:sz w:val="20"/>
                <w:szCs w:val="20"/>
              </w:rPr>
              <w:t>,</w:t>
            </w:r>
            <w:r w:rsidR="00DF459C" w:rsidRPr="00C84AFC">
              <w:rPr>
                <w:rFonts w:ascii="Calibri Light" w:hAnsi="Calibri Light" w:cs="Arial"/>
                <w:sz w:val="20"/>
                <w:szCs w:val="20"/>
              </w:rPr>
              <w:t>331,628</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0B75ED36" w14:textId="77777777" w:rsidR="00393BAD" w:rsidRPr="00C84AFC" w:rsidRDefault="00393BAD" w:rsidP="001B13E2">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4619ED29" w14:textId="2E3EEA13" w:rsidR="00393BAD" w:rsidRPr="00C84AFC" w:rsidRDefault="00393BAD" w:rsidP="001B13E2">
            <w:pPr>
              <w:jc w:val="right"/>
              <w:rPr>
                <w:rFonts w:ascii="Calibri Light" w:hAnsi="Calibri Light" w:cs="Arial"/>
                <w:sz w:val="20"/>
                <w:szCs w:val="20"/>
              </w:rPr>
            </w:pPr>
            <w:r w:rsidRPr="00C84AFC">
              <w:rPr>
                <w:rFonts w:ascii="Calibri Light" w:hAnsi="Calibri Light" w:cs="Arial"/>
                <w:sz w:val="20"/>
                <w:szCs w:val="20"/>
              </w:rPr>
              <w:t xml:space="preserve">       5,565,331 </w:t>
            </w:r>
          </w:p>
        </w:tc>
        <w:tc>
          <w:tcPr>
            <w:tcW w:w="136" w:type="pct"/>
            <w:tcBorders>
              <w:top w:val="nil"/>
              <w:left w:val="nil"/>
              <w:bottom w:val="nil"/>
              <w:right w:val="nil"/>
            </w:tcBorders>
            <w:shd w:val="clear" w:color="auto" w:fill="auto"/>
            <w:noWrap/>
            <w:vAlign w:val="bottom"/>
            <w:hideMark/>
          </w:tcPr>
          <w:p w14:paraId="6BAC0EBD" w14:textId="77777777" w:rsidR="00393BAD" w:rsidRPr="00C84AFC" w:rsidRDefault="00393BAD" w:rsidP="001B13E2">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42BE687D" w14:textId="3D797EFC" w:rsidR="00393BAD" w:rsidRPr="00C84AFC" w:rsidRDefault="00393BAD" w:rsidP="001B13E2">
            <w:pPr>
              <w:jc w:val="right"/>
              <w:rPr>
                <w:rFonts w:ascii="Calibri Light" w:hAnsi="Calibri Light" w:cs="Arial"/>
                <w:sz w:val="20"/>
                <w:szCs w:val="20"/>
              </w:rPr>
            </w:pPr>
            <w:r w:rsidRPr="00C84AFC">
              <w:rPr>
                <w:rFonts w:ascii="Calibri Light" w:hAnsi="Calibri Light" w:cs="Arial"/>
                <w:sz w:val="20"/>
                <w:szCs w:val="20"/>
              </w:rPr>
              <w:t xml:space="preserve">        8,502,950 </w:t>
            </w:r>
          </w:p>
        </w:tc>
      </w:tr>
      <w:tr w:rsidR="00570A21" w:rsidRPr="00C84AFC" w14:paraId="307B061A" w14:textId="77777777" w:rsidTr="00262A0E">
        <w:trPr>
          <w:trHeight w:val="120"/>
        </w:trPr>
        <w:tc>
          <w:tcPr>
            <w:tcW w:w="1731" w:type="pct"/>
            <w:tcBorders>
              <w:top w:val="nil"/>
              <w:left w:val="nil"/>
              <w:bottom w:val="nil"/>
              <w:right w:val="nil"/>
            </w:tcBorders>
            <w:shd w:val="clear" w:color="auto" w:fill="auto"/>
            <w:noWrap/>
            <w:vAlign w:val="bottom"/>
            <w:hideMark/>
          </w:tcPr>
          <w:p w14:paraId="3748B9AF"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7C0832AE"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618D41AF"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031DB5D0"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25D49ADF"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8461A3A"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64692345" w14:textId="77777777" w:rsidR="00393BAD" w:rsidRPr="00C84AFC" w:rsidRDefault="00393BAD" w:rsidP="00393BAD">
            <w:pPr>
              <w:jc w:val="right"/>
              <w:rPr>
                <w:rFonts w:ascii="Calibri Light" w:hAnsi="Calibri Light"/>
                <w:sz w:val="20"/>
                <w:szCs w:val="20"/>
              </w:rPr>
            </w:pPr>
          </w:p>
        </w:tc>
      </w:tr>
      <w:tr w:rsidR="00570A21" w:rsidRPr="00C84AFC" w14:paraId="6F59314A" w14:textId="77777777" w:rsidTr="00262A0E">
        <w:trPr>
          <w:trHeight w:val="300"/>
        </w:trPr>
        <w:tc>
          <w:tcPr>
            <w:tcW w:w="1731" w:type="pct"/>
            <w:tcBorders>
              <w:top w:val="nil"/>
              <w:left w:val="nil"/>
              <w:bottom w:val="nil"/>
              <w:right w:val="nil"/>
            </w:tcBorders>
            <w:shd w:val="clear" w:color="auto" w:fill="auto"/>
            <w:noWrap/>
            <w:vAlign w:val="bottom"/>
            <w:hideMark/>
          </w:tcPr>
          <w:p w14:paraId="7AA5ECD5"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LIABILITIES</w:t>
            </w:r>
          </w:p>
        </w:tc>
        <w:tc>
          <w:tcPr>
            <w:tcW w:w="355" w:type="pct"/>
            <w:tcBorders>
              <w:top w:val="nil"/>
              <w:left w:val="nil"/>
              <w:bottom w:val="nil"/>
              <w:right w:val="nil"/>
            </w:tcBorders>
            <w:shd w:val="clear" w:color="auto" w:fill="auto"/>
            <w:noWrap/>
            <w:vAlign w:val="bottom"/>
            <w:hideMark/>
          </w:tcPr>
          <w:p w14:paraId="4A7B9BF8"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031B44DA"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82D04CF"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021E5A17"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172C326"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0AB57BC0" w14:textId="77777777" w:rsidR="00393BAD" w:rsidRPr="00C84AFC" w:rsidRDefault="00393BAD" w:rsidP="00393BAD">
            <w:pPr>
              <w:jc w:val="right"/>
              <w:rPr>
                <w:rFonts w:ascii="Calibri Light" w:hAnsi="Calibri Light"/>
                <w:sz w:val="20"/>
                <w:szCs w:val="20"/>
              </w:rPr>
            </w:pPr>
          </w:p>
        </w:tc>
      </w:tr>
      <w:tr w:rsidR="00570A21" w:rsidRPr="00C84AFC" w14:paraId="30355E98" w14:textId="77777777" w:rsidTr="00262A0E">
        <w:trPr>
          <w:trHeight w:val="300"/>
        </w:trPr>
        <w:tc>
          <w:tcPr>
            <w:tcW w:w="1731" w:type="pct"/>
            <w:tcBorders>
              <w:top w:val="nil"/>
              <w:left w:val="nil"/>
              <w:bottom w:val="nil"/>
              <w:right w:val="nil"/>
            </w:tcBorders>
            <w:shd w:val="clear" w:color="auto" w:fill="auto"/>
            <w:noWrap/>
            <w:vAlign w:val="bottom"/>
            <w:hideMark/>
          </w:tcPr>
          <w:p w14:paraId="4BC4DB18"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NON-CURRENT LIABILITIES</w:t>
            </w:r>
          </w:p>
        </w:tc>
        <w:tc>
          <w:tcPr>
            <w:tcW w:w="355" w:type="pct"/>
            <w:tcBorders>
              <w:top w:val="nil"/>
              <w:left w:val="nil"/>
              <w:bottom w:val="nil"/>
              <w:right w:val="nil"/>
            </w:tcBorders>
            <w:shd w:val="clear" w:color="auto" w:fill="auto"/>
            <w:noWrap/>
            <w:vAlign w:val="bottom"/>
            <w:hideMark/>
          </w:tcPr>
          <w:p w14:paraId="5A160142"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193B1D24"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0BD9B198" w14:textId="77777777" w:rsidR="00393BAD" w:rsidRPr="00C84AFC" w:rsidRDefault="00393BAD" w:rsidP="00393BA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397EBA95" w14:textId="77777777" w:rsidR="00393BAD" w:rsidRPr="00C84AFC" w:rsidRDefault="00393BAD" w:rsidP="00393BA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DC8BFF8" w14:textId="77777777" w:rsidR="00393BAD" w:rsidRPr="00C84AFC" w:rsidRDefault="00393BAD" w:rsidP="00393BA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29795EC4" w14:textId="77777777" w:rsidR="00393BAD" w:rsidRPr="00C84AFC" w:rsidRDefault="00393BAD" w:rsidP="00393BAD">
            <w:pPr>
              <w:jc w:val="right"/>
              <w:rPr>
                <w:rFonts w:ascii="Calibri Light" w:hAnsi="Calibri Light"/>
                <w:sz w:val="20"/>
                <w:szCs w:val="20"/>
              </w:rPr>
            </w:pPr>
          </w:p>
        </w:tc>
      </w:tr>
      <w:tr w:rsidR="00570A21" w:rsidRPr="00C84AFC" w14:paraId="15726F8F" w14:textId="77777777" w:rsidTr="00262A0E">
        <w:trPr>
          <w:trHeight w:val="300"/>
        </w:trPr>
        <w:tc>
          <w:tcPr>
            <w:tcW w:w="1731" w:type="pct"/>
            <w:tcBorders>
              <w:top w:val="nil"/>
              <w:left w:val="nil"/>
              <w:bottom w:val="nil"/>
              <w:right w:val="nil"/>
            </w:tcBorders>
            <w:shd w:val="clear" w:color="auto" w:fill="auto"/>
            <w:noWrap/>
            <w:vAlign w:val="bottom"/>
            <w:hideMark/>
          </w:tcPr>
          <w:p w14:paraId="0A7ABB73"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Financial liabilities - borrowings</w:t>
            </w:r>
          </w:p>
        </w:tc>
        <w:tc>
          <w:tcPr>
            <w:tcW w:w="355" w:type="pct"/>
            <w:tcBorders>
              <w:top w:val="nil"/>
              <w:left w:val="nil"/>
              <w:bottom w:val="nil"/>
              <w:right w:val="nil"/>
            </w:tcBorders>
            <w:shd w:val="clear" w:color="auto" w:fill="auto"/>
            <w:noWrap/>
            <w:vAlign w:val="bottom"/>
            <w:hideMark/>
          </w:tcPr>
          <w:p w14:paraId="2175D02B"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3FBFCD99"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3C3F4777" w14:textId="77777777" w:rsidR="00393BAD" w:rsidRPr="00C84AFC" w:rsidRDefault="00393BAD">
            <w:pPr>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62A574BF" w14:textId="77777777" w:rsidR="00393BAD" w:rsidRPr="00C84AFC" w:rsidRDefault="00393BAD">
            <w:pPr>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007CBF66" w14:textId="77777777" w:rsidR="00393BAD" w:rsidRPr="00C84AFC" w:rsidRDefault="00393BAD">
            <w:pPr>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4CC750C5" w14:textId="77777777" w:rsidR="00393BAD" w:rsidRPr="00C84AFC" w:rsidRDefault="00393BAD">
            <w:pPr>
              <w:rPr>
                <w:rFonts w:ascii="Calibri Light" w:hAnsi="Calibri Light"/>
                <w:sz w:val="20"/>
                <w:szCs w:val="20"/>
              </w:rPr>
            </w:pPr>
          </w:p>
        </w:tc>
      </w:tr>
      <w:tr w:rsidR="00570A21" w:rsidRPr="00C84AFC" w14:paraId="5942B9A9" w14:textId="77777777" w:rsidTr="00262A0E">
        <w:trPr>
          <w:trHeight w:val="255"/>
        </w:trPr>
        <w:tc>
          <w:tcPr>
            <w:tcW w:w="1731" w:type="pct"/>
            <w:tcBorders>
              <w:top w:val="nil"/>
              <w:left w:val="nil"/>
              <w:bottom w:val="nil"/>
              <w:right w:val="nil"/>
            </w:tcBorders>
            <w:shd w:val="clear" w:color="auto" w:fill="auto"/>
            <w:noWrap/>
            <w:vAlign w:val="bottom"/>
            <w:hideMark/>
          </w:tcPr>
          <w:p w14:paraId="622E85A8" w14:textId="0BA1A3A9" w:rsidR="00393BAD" w:rsidRPr="00C84AFC" w:rsidRDefault="00393BAD">
            <w:pPr>
              <w:rPr>
                <w:rFonts w:ascii="Calibri Light" w:hAnsi="Calibri Light" w:cs="Arial"/>
                <w:sz w:val="20"/>
                <w:szCs w:val="20"/>
              </w:rPr>
            </w:pPr>
            <w:r w:rsidRPr="00C84AFC">
              <w:rPr>
                <w:rFonts w:ascii="Calibri Light" w:hAnsi="Calibri Light" w:cs="Arial"/>
                <w:sz w:val="20"/>
                <w:szCs w:val="20"/>
              </w:rPr>
              <w:t>Bank loans</w:t>
            </w:r>
          </w:p>
        </w:tc>
        <w:tc>
          <w:tcPr>
            <w:tcW w:w="355" w:type="pct"/>
            <w:tcBorders>
              <w:top w:val="nil"/>
              <w:left w:val="nil"/>
              <w:bottom w:val="nil"/>
              <w:right w:val="nil"/>
            </w:tcBorders>
            <w:shd w:val="clear" w:color="auto" w:fill="auto"/>
            <w:noWrap/>
            <w:vAlign w:val="bottom"/>
            <w:hideMark/>
          </w:tcPr>
          <w:p w14:paraId="2DCA6D87"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49D8924F" w14:textId="23FD8378"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28,768 </w:t>
            </w:r>
          </w:p>
        </w:tc>
        <w:tc>
          <w:tcPr>
            <w:tcW w:w="136" w:type="pct"/>
            <w:tcBorders>
              <w:top w:val="nil"/>
              <w:left w:val="nil"/>
              <w:bottom w:val="nil"/>
              <w:right w:val="nil"/>
            </w:tcBorders>
            <w:shd w:val="clear" w:color="auto" w:fill="auto"/>
            <w:noWrap/>
            <w:vAlign w:val="bottom"/>
            <w:hideMark/>
          </w:tcPr>
          <w:p w14:paraId="1471B85E"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69BAB58E" w14:textId="796F8C4A"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40,195 </w:t>
            </w:r>
          </w:p>
        </w:tc>
        <w:tc>
          <w:tcPr>
            <w:tcW w:w="136" w:type="pct"/>
            <w:tcBorders>
              <w:top w:val="nil"/>
              <w:left w:val="nil"/>
              <w:bottom w:val="nil"/>
              <w:right w:val="nil"/>
            </w:tcBorders>
            <w:shd w:val="clear" w:color="auto" w:fill="auto"/>
            <w:noWrap/>
            <w:vAlign w:val="bottom"/>
            <w:hideMark/>
          </w:tcPr>
          <w:p w14:paraId="3AD3E666"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6E3A9A6A" w14:textId="7502C13B"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   </w:t>
            </w:r>
          </w:p>
        </w:tc>
      </w:tr>
      <w:tr w:rsidR="00570A21" w:rsidRPr="00C84AFC" w14:paraId="32421BC7" w14:textId="77777777" w:rsidTr="00262A0E">
        <w:trPr>
          <w:trHeight w:val="300"/>
        </w:trPr>
        <w:tc>
          <w:tcPr>
            <w:tcW w:w="1731" w:type="pct"/>
            <w:tcBorders>
              <w:top w:val="nil"/>
              <w:left w:val="nil"/>
              <w:bottom w:val="nil"/>
              <w:right w:val="nil"/>
            </w:tcBorders>
            <w:shd w:val="clear" w:color="auto" w:fill="auto"/>
            <w:noWrap/>
            <w:vAlign w:val="bottom"/>
            <w:hideMark/>
          </w:tcPr>
          <w:p w14:paraId="6FD96A9F" w14:textId="037FBCF1" w:rsidR="00393BAD" w:rsidRPr="00C84AFC" w:rsidRDefault="00393BAD">
            <w:pPr>
              <w:rPr>
                <w:rFonts w:ascii="Calibri Light" w:hAnsi="Calibri Light" w:cs="Arial"/>
                <w:sz w:val="20"/>
                <w:szCs w:val="20"/>
              </w:rPr>
            </w:pPr>
            <w:r w:rsidRPr="00C84AFC">
              <w:rPr>
                <w:rFonts w:ascii="Calibri Light" w:hAnsi="Calibri Light" w:cs="Arial"/>
                <w:sz w:val="20"/>
                <w:szCs w:val="20"/>
              </w:rPr>
              <w:t>Interest bearing l</w:t>
            </w:r>
            <w:r w:rsidR="001400F7" w:rsidRPr="00C84AFC">
              <w:rPr>
                <w:rFonts w:ascii="Calibri Light" w:hAnsi="Calibri Light" w:cs="Arial"/>
                <w:sz w:val="20"/>
                <w:szCs w:val="20"/>
              </w:rPr>
              <w:t>oans</w:t>
            </w:r>
          </w:p>
        </w:tc>
        <w:tc>
          <w:tcPr>
            <w:tcW w:w="355" w:type="pct"/>
            <w:tcBorders>
              <w:top w:val="nil"/>
              <w:left w:val="nil"/>
              <w:bottom w:val="nil"/>
              <w:right w:val="nil"/>
            </w:tcBorders>
            <w:shd w:val="clear" w:color="auto" w:fill="auto"/>
            <w:noWrap/>
            <w:vAlign w:val="bottom"/>
            <w:hideMark/>
          </w:tcPr>
          <w:p w14:paraId="02DC5AFD"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5A9B4DE3" w14:textId="24D4D9A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107,226 </w:t>
            </w:r>
          </w:p>
        </w:tc>
        <w:tc>
          <w:tcPr>
            <w:tcW w:w="136" w:type="pct"/>
            <w:tcBorders>
              <w:top w:val="nil"/>
              <w:left w:val="nil"/>
              <w:bottom w:val="nil"/>
              <w:right w:val="nil"/>
            </w:tcBorders>
            <w:shd w:val="clear" w:color="auto" w:fill="auto"/>
            <w:noWrap/>
            <w:vAlign w:val="bottom"/>
            <w:hideMark/>
          </w:tcPr>
          <w:p w14:paraId="1307DD3B"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2FBEC9CC" w14:textId="14AE008F"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321,680 </w:t>
            </w:r>
          </w:p>
        </w:tc>
        <w:tc>
          <w:tcPr>
            <w:tcW w:w="136" w:type="pct"/>
            <w:tcBorders>
              <w:top w:val="nil"/>
              <w:left w:val="nil"/>
              <w:bottom w:val="nil"/>
              <w:right w:val="nil"/>
            </w:tcBorders>
            <w:shd w:val="clear" w:color="auto" w:fill="auto"/>
            <w:noWrap/>
            <w:vAlign w:val="bottom"/>
            <w:hideMark/>
          </w:tcPr>
          <w:p w14:paraId="455054C6"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35D11C94" w14:textId="3ABF1BFE"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247,232 </w:t>
            </w:r>
          </w:p>
        </w:tc>
      </w:tr>
      <w:tr w:rsidR="00570A21" w:rsidRPr="00C84AFC" w14:paraId="57B5A432" w14:textId="77777777" w:rsidTr="00262A0E">
        <w:trPr>
          <w:trHeight w:val="300"/>
        </w:trPr>
        <w:tc>
          <w:tcPr>
            <w:tcW w:w="1731" w:type="pct"/>
            <w:tcBorders>
              <w:top w:val="nil"/>
              <w:left w:val="nil"/>
              <w:bottom w:val="nil"/>
              <w:right w:val="nil"/>
            </w:tcBorders>
            <w:shd w:val="clear" w:color="auto" w:fill="auto"/>
            <w:noWrap/>
            <w:vAlign w:val="bottom"/>
            <w:hideMark/>
          </w:tcPr>
          <w:p w14:paraId="2D307C1C"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Deferred taxation</w:t>
            </w:r>
          </w:p>
        </w:tc>
        <w:tc>
          <w:tcPr>
            <w:tcW w:w="355" w:type="pct"/>
            <w:tcBorders>
              <w:top w:val="nil"/>
              <w:left w:val="nil"/>
              <w:bottom w:val="nil"/>
              <w:right w:val="nil"/>
            </w:tcBorders>
            <w:shd w:val="clear" w:color="auto" w:fill="auto"/>
            <w:noWrap/>
            <w:vAlign w:val="bottom"/>
            <w:hideMark/>
          </w:tcPr>
          <w:p w14:paraId="3815F758" w14:textId="77777777" w:rsidR="00393BAD" w:rsidRPr="00C84AFC" w:rsidRDefault="00393BAD">
            <w:pPr>
              <w:rPr>
                <w:rFonts w:ascii="Calibri Light" w:hAnsi="Calibri Light" w:cs="Arial"/>
                <w:sz w:val="20"/>
                <w:szCs w:val="20"/>
              </w:rPr>
            </w:pPr>
          </w:p>
        </w:tc>
        <w:tc>
          <w:tcPr>
            <w:tcW w:w="891" w:type="pct"/>
            <w:tcBorders>
              <w:top w:val="nil"/>
              <w:left w:val="nil"/>
              <w:bottom w:val="single" w:sz="4" w:space="0" w:color="auto"/>
              <w:right w:val="nil"/>
            </w:tcBorders>
            <w:shd w:val="clear" w:color="auto" w:fill="auto"/>
            <w:noWrap/>
            <w:vAlign w:val="bottom"/>
            <w:hideMark/>
          </w:tcPr>
          <w:p w14:paraId="3DBEB526" w14:textId="56802C3C"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w:t>
            </w:r>
            <w:r w:rsidR="00DF459C" w:rsidRPr="00C84AFC">
              <w:rPr>
                <w:rFonts w:ascii="Calibri Light" w:hAnsi="Calibri Light" w:cs="Arial"/>
                <w:sz w:val="20"/>
                <w:szCs w:val="20"/>
              </w:rPr>
              <w:t>1,952,339</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583845E6"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01DE7342" w14:textId="3491B310"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   </w:t>
            </w:r>
          </w:p>
        </w:tc>
        <w:tc>
          <w:tcPr>
            <w:tcW w:w="136" w:type="pct"/>
            <w:tcBorders>
              <w:top w:val="nil"/>
              <w:left w:val="nil"/>
              <w:bottom w:val="nil"/>
              <w:right w:val="nil"/>
            </w:tcBorders>
            <w:shd w:val="clear" w:color="auto" w:fill="auto"/>
            <w:noWrap/>
            <w:vAlign w:val="bottom"/>
            <w:hideMark/>
          </w:tcPr>
          <w:p w14:paraId="4DF85144"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4A527093" w14:textId="35F6BF84"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40,394 </w:t>
            </w:r>
          </w:p>
        </w:tc>
      </w:tr>
      <w:tr w:rsidR="00570A21" w:rsidRPr="00C84AFC" w14:paraId="5D3776F8" w14:textId="77777777" w:rsidTr="00262A0E">
        <w:trPr>
          <w:trHeight w:val="255"/>
        </w:trPr>
        <w:tc>
          <w:tcPr>
            <w:tcW w:w="1731" w:type="pct"/>
            <w:tcBorders>
              <w:top w:val="nil"/>
              <w:left w:val="nil"/>
              <w:bottom w:val="nil"/>
              <w:right w:val="nil"/>
            </w:tcBorders>
            <w:shd w:val="clear" w:color="auto" w:fill="auto"/>
            <w:noWrap/>
            <w:vAlign w:val="bottom"/>
            <w:hideMark/>
          </w:tcPr>
          <w:p w14:paraId="6E690879"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4E7702E4" w14:textId="77777777" w:rsidR="00393BAD" w:rsidRPr="00C84AFC" w:rsidRDefault="00393BAD">
            <w:pPr>
              <w:rPr>
                <w:rFonts w:ascii="Calibri Light" w:hAnsi="Calibri Light"/>
                <w:sz w:val="20"/>
                <w:szCs w:val="20"/>
              </w:rPr>
            </w:pPr>
          </w:p>
        </w:tc>
        <w:tc>
          <w:tcPr>
            <w:tcW w:w="891" w:type="pct"/>
            <w:tcBorders>
              <w:top w:val="nil"/>
              <w:left w:val="nil"/>
              <w:bottom w:val="single" w:sz="4" w:space="0" w:color="auto"/>
              <w:right w:val="nil"/>
            </w:tcBorders>
            <w:shd w:val="clear" w:color="auto" w:fill="auto"/>
            <w:noWrap/>
            <w:vAlign w:val="bottom"/>
            <w:hideMark/>
          </w:tcPr>
          <w:p w14:paraId="46B6C543" w14:textId="0E2DECF7"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w:t>
            </w:r>
            <w:r w:rsidR="00DF459C" w:rsidRPr="00C84AFC">
              <w:rPr>
                <w:rFonts w:ascii="Calibri Light" w:hAnsi="Calibri Light" w:cs="Arial"/>
                <w:sz w:val="20"/>
                <w:szCs w:val="20"/>
              </w:rPr>
              <w:t>2,088,333</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6CBA6C69"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46DDE684" w14:textId="0178916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361,875 </w:t>
            </w:r>
          </w:p>
        </w:tc>
        <w:tc>
          <w:tcPr>
            <w:tcW w:w="136" w:type="pct"/>
            <w:tcBorders>
              <w:top w:val="nil"/>
              <w:left w:val="nil"/>
              <w:bottom w:val="nil"/>
              <w:right w:val="nil"/>
            </w:tcBorders>
            <w:shd w:val="clear" w:color="auto" w:fill="auto"/>
            <w:noWrap/>
            <w:vAlign w:val="bottom"/>
            <w:hideMark/>
          </w:tcPr>
          <w:p w14:paraId="49E11EDC"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5C69ADA5" w14:textId="64CC577B"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287,626 </w:t>
            </w:r>
          </w:p>
        </w:tc>
      </w:tr>
      <w:tr w:rsidR="00570A21" w:rsidRPr="00C84AFC" w14:paraId="4C9102B6" w14:textId="77777777" w:rsidTr="00262A0E">
        <w:trPr>
          <w:trHeight w:val="120"/>
        </w:trPr>
        <w:tc>
          <w:tcPr>
            <w:tcW w:w="1731" w:type="pct"/>
            <w:tcBorders>
              <w:top w:val="nil"/>
              <w:left w:val="nil"/>
              <w:bottom w:val="nil"/>
              <w:right w:val="nil"/>
            </w:tcBorders>
            <w:shd w:val="clear" w:color="auto" w:fill="auto"/>
            <w:noWrap/>
            <w:vAlign w:val="bottom"/>
            <w:hideMark/>
          </w:tcPr>
          <w:p w14:paraId="33DBF4BE"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1848DF0A"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3EA13715"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9CB002A" w14:textId="77777777" w:rsidR="00393BAD" w:rsidRPr="00C84AFC" w:rsidRDefault="00393BAD" w:rsidP="005E42B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0BD21571"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158D3CC9" w14:textId="77777777" w:rsidR="00393BAD" w:rsidRPr="00C84AFC" w:rsidRDefault="00393BAD" w:rsidP="005E42B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6661AF5A" w14:textId="77777777" w:rsidR="00393BAD" w:rsidRPr="00C84AFC" w:rsidRDefault="00393BAD" w:rsidP="005E42BD">
            <w:pPr>
              <w:jc w:val="right"/>
              <w:rPr>
                <w:rFonts w:ascii="Calibri Light" w:hAnsi="Calibri Light"/>
                <w:sz w:val="20"/>
                <w:szCs w:val="20"/>
              </w:rPr>
            </w:pPr>
          </w:p>
        </w:tc>
      </w:tr>
      <w:tr w:rsidR="00570A21" w:rsidRPr="00C84AFC" w14:paraId="5274849A" w14:textId="77777777" w:rsidTr="00262A0E">
        <w:trPr>
          <w:trHeight w:val="300"/>
        </w:trPr>
        <w:tc>
          <w:tcPr>
            <w:tcW w:w="1731" w:type="pct"/>
            <w:tcBorders>
              <w:top w:val="nil"/>
              <w:left w:val="nil"/>
              <w:bottom w:val="nil"/>
              <w:right w:val="nil"/>
            </w:tcBorders>
            <w:shd w:val="clear" w:color="auto" w:fill="auto"/>
            <w:noWrap/>
            <w:vAlign w:val="bottom"/>
            <w:hideMark/>
          </w:tcPr>
          <w:p w14:paraId="7221D2FC"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CURRENT LIABILITIES</w:t>
            </w:r>
          </w:p>
        </w:tc>
        <w:tc>
          <w:tcPr>
            <w:tcW w:w="355" w:type="pct"/>
            <w:tcBorders>
              <w:top w:val="nil"/>
              <w:left w:val="nil"/>
              <w:bottom w:val="nil"/>
              <w:right w:val="nil"/>
            </w:tcBorders>
            <w:shd w:val="clear" w:color="auto" w:fill="auto"/>
            <w:noWrap/>
            <w:vAlign w:val="bottom"/>
            <w:hideMark/>
          </w:tcPr>
          <w:p w14:paraId="16A809B5" w14:textId="77777777" w:rsidR="00393BAD" w:rsidRPr="00C84AFC" w:rsidRDefault="00393BAD">
            <w:pPr>
              <w:rPr>
                <w:rFonts w:ascii="Calibri Light" w:hAnsi="Calibri Light" w:cs="Arial"/>
                <w:b/>
                <w:bCs/>
                <w:sz w:val="20"/>
                <w:szCs w:val="20"/>
              </w:rPr>
            </w:pPr>
          </w:p>
        </w:tc>
        <w:tc>
          <w:tcPr>
            <w:tcW w:w="891" w:type="pct"/>
            <w:tcBorders>
              <w:top w:val="nil"/>
              <w:left w:val="nil"/>
              <w:bottom w:val="nil"/>
              <w:right w:val="nil"/>
            </w:tcBorders>
            <w:shd w:val="clear" w:color="auto" w:fill="auto"/>
            <w:noWrap/>
            <w:vAlign w:val="bottom"/>
            <w:hideMark/>
          </w:tcPr>
          <w:p w14:paraId="4789177B"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7156A265" w14:textId="77777777" w:rsidR="00393BAD" w:rsidRPr="00C84AFC" w:rsidRDefault="00393BAD" w:rsidP="005E42B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23A0FF4B"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726EAACC" w14:textId="77777777" w:rsidR="00393BAD" w:rsidRPr="00C84AFC" w:rsidRDefault="00393BAD" w:rsidP="005E42B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1A9B4A0D" w14:textId="77777777" w:rsidR="00393BAD" w:rsidRPr="00C84AFC" w:rsidRDefault="00393BAD" w:rsidP="005E42BD">
            <w:pPr>
              <w:jc w:val="right"/>
              <w:rPr>
                <w:rFonts w:ascii="Calibri Light" w:hAnsi="Calibri Light"/>
                <w:sz w:val="20"/>
                <w:szCs w:val="20"/>
              </w:rPr>
            </w:pPr>
          </w:p>
        </w:tc>
      </w:tr>
      <w:tr w:rsidR="00570A21" w:rsidRPr="00C84AFC" w14:paraId="6E1C31FB" w14:textId="77777777" w:rsidTr="00262A0E">
        <w:trPr>
          <w:trHeight w:val="300"/>
        </w:trPr>
        <w:tc>
          <w:tcPr>
            <w:tcW w:w="1731" w:type="pct"/>
            <w:tcBorders>
              <w:top w:val="nil"/>
              <w:left w:val="nil"/>
              <w:bottom w:val="nil"/>
              <w:right w:val="nil"/>
            </w:tcBorders>
            <w:shd w:val="clear" w:color="auto" w:fill="auto"/>
            <w:noWrap/>
            <w:vAlign w:val="bottom"/>
            <w:hideMark/>
          </w:tcPr>
          <w:p w14:paraId="5B0FE468"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Trade and other payables</w:t>
            </w:r>
          </w:p>
        </w:tc>
        <w:tc>
          <w:tcPr>
            <w:tcW w:w="355" w:type="pct"/>
            <w:tcBorders>
              <w:top w:val="nil"/>
              <w:left w:val="nil"/>
              <w:bottom w:val="nil"/>
              <w:right w:val="nil"/>
            </w:tcBorders>
            <w:shd w:val="clear" w:color="auto" w:fill="auto"/>
            <w:noWrap/>
            <w:vAlign w:val="bottom"/>
            <w:hideMark/>
          </w:tcPr>
          <w:p w14:paraId="0BBA492B"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0495B2DE" w14:textId="3AFB107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51,566 </w:t>
            </w:r>
          </w:p>
        </w:tc>
        <w:tc>
          <w:tcPr>
            <w:tcW w:w="136" w:type="pct"/>
            <w:tcBorders>
              <w:top w:val="nil"/>
              <w:left w:val="nil"/>
              <w:bottom w:val="nil"/>
              <w:right w:val="nil"/>
            </w:tcBorders>
            <w:shd w:val="clear" w:color="auto" w:fill="auto"/>
            <w:noWrap/>
            <w:vAlign w:val="bottom"/>
            <w:hideMark/>
          </w:tcPr>
          <w:p w14:paraId="7DFBA39F"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39C0F4B6" w14:textId="5E226C82"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152,574</w:t>
            </w:r>
          </w:p>
        </w:tc>
        <w:tc>
          <w:tcPr>
            <w:tcW w:w="136" w:type="pct"/>
            <w:tcBorders>
              <w:top w:val="nil"/>
              <w:left w:val="nil"/>
              <w:bottom w:val="nil"/>
              <w:right w:val="nil"/>
            </w:tcBorders>
            <w:shd w:val="clear" w:color="auto" w:fill="auto"/>
            <w:noWrap/>
            <w:vAlign w:val="bottom"/>
            <w:hideMark/>
          </w:tcPr>
          <w:p w14:paraId="3A78BDF6"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451C6A06" w14:textId="5510C84B"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52,892 </w:t>
            </w:r>
          </w:p>
        </w:tc>
      </w:tr>
      <w:tr w:rsidR="00570A21" w:rsidRPr="00C84AFC" w14:paraId="39E5B909" w14:textId="77777777" w:rsidTr="00262A0E">
        <w:trPr>
          <w:trHeight w:val="300"/>
        </w:trPr>
        <w:tc>
          <w:tcPr>
            <w:tcW w:w="1731" w:type="pct"/>
            <w:tcBorders>
              <w:top w:val="nil"/>
              <w:left w:val="nil"/>
              <w:bottom w:val="nil"/>
              <w:right w:val="nil"/>
            </w:tcBorders>
            <w:shd w:val="clear" w:color="auto" w:fill="auto"/>
            <w:noWrap/>
            <w:vAlign w:val="bottom"/>
            <w:hideMark/>
          </w:tcPr>
          <w:p w14:paraId="4AB6672A" w14:textId="77777777" w:rsidR="00393BAD" w:rsidRPr="00C84AFC" w:rsidRDefault="00393BAD">
            <w:pPr>
              <w:rPr>
                <w:rFonts w:ascii="Calibri Light" w:hAnsi="Calibri Light" w:cs="Arial"/>
                <w:sz w:val="20"/>
                <w:szCs w:val="20"/>
              </w:rPr>
            </w:pPr>
            <w:r w:rsidRPr="00C84AFC">
              <w:rPr>
                <w:rFonts w:ascii="Calibri Light" w:hAnsi="Calibri Light" w:cs="Arial"/>
                <w:sz w:val="20"/>
                <w:szCs w:val="20"/>
              </w:rPr>
              <w:t>Financial liabilities - borrowings</w:t>
            </w:r>
          </w:p>
        </w:tc>
        <w:tc>
          <w:tcPr>
            <w:tcW w:w="355" w:type="pct"/>
            <w:tcBorders>
              <w:top w:val="nil"/>
              <w:left w:val="nil"/>
              <w:bottom w:val="nil"/>
              <w:right w:val="nil"/>
            </w:tcBorders>
            <w:shd w:val="clear" w:color="auto" w:fill="auto"/>
            <w:noWrap/>
            <w:vAlign w:val="bottom"/>
            <w:hideMark/>
          </w:tcPr>
          <w:p w14:paraId="52A08F32"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74A2624E"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14A22ED1" w14:textId="77777777" w:rsidR="00393BAD" w:rsidRPr="00C84AFC" w:rsidRDefault="00393BAD" w:rsidP="005E42B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2CEAD1BB"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77CC98D" w14:textId="77777777" w:rsidR="00393BAD" w:rsidRPr="00C84AFC" w:rsidRDefault="00393BAD" w:rsidP="005E42B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194CFF2A" w14:textId="77777777" w:rsidR="00393BAD" w:rsidRPr="00C84AFC" w:rsidRDefault="00393BAD" w:rsidP="005E42BD">
            <w:pPr>
              <w:jc w:val="right"/>
              <w:rPr>
                <w:rFonts w:ascii="Calibri Light" w:hAnsi="Calibri Light"/>
                <w:sz w:val="20"/>
                <w:szCs w:val="20"/>
              </w:rPr>
            </w:pPr>
          </w:p>
        </w:tc>
      </w:tr>
      <w:tr w:rsidR="00570A21" w:rsidRPr="00C84AFC" w14:paraId="35BBE731" w14:textId="77777777" w:rsidTr="00262A0E">
        <w:trPr>
          <w:trHeight w:val="300"/>
        </w:trPr>
        <w:tc>
          <w:tcPr>
            <w:tcW w:w="1731" w:type="pct"/>
            <w:tcBorders>
              <w:top w:val="nil"/>
              <w:left w:val="nil"/>
              <w:bottom w:val="nil"/>
              <w:right w:val="nil"/>
            </w:tcBorders>
            <w:shd w:val="clear" w:color="auto" w:fill="auto"/>
            <w:noWrap/>
            <w:vAlign w:val="bottom"/>
            <w:hideMark/>
          </w:tcPr>
          <w:p w14:paraId="3CF872C0" w14:textId="12E87A2D" w:rsidR="00393BAD" w:rsidRPr="00C84AFC" w:rsidRDefault="00393BAD">
            <w:pPr>
              <w:rPr>
                <w:rFonts w:ascii="Calibri Light" w:hAnsi="Calibri Light" w:cs="Arial"/>
                <w:sz w:val="20"/>
                <w:szCs w:val="20"/>
              </w:rPr>
            </w:pPr>
            <w:r w:rsidRPr="00C84AFC">
              <w:rPr>
                <w:rFonts w:ascii="Calibri Light" w:hAnsi="Calibri Light" w:cs="Arial"/>
                <w:sz w:val="20"/>
                <w:szCs w:val="20"/>
              </w:rPr>
              <w:t>Bank loans</w:t>
            </w:r>
          </w:p>
        </w:tc>
        <w:tc>
          <w:tcPr>
            <w:tcW w:w="355" w:type="pct"/>
            <w:tcBorders>
              <w:top w:val="nil"/>
              <w:left w:val="nil"/>
              <w:bottom w:val="nil"/>
              <w:right w:val="nil"/>
            </w:tcBorders>
            <w:shd w:val="clear" w:color="auto" w:fill="auto"/>
            <w:noWrap/>
            <w:vAlign w:val="bottom"/>
            <w:hideMark/>
          </w:tcPr>
          <w:p w14:paraId="2256F97B" w14:textId="77777777" w:rsidR="00393BAD" w:rsidRPr="00C84AFC" w:rsidRDefault="00393BAD">
            <w:pPr>
              <w:rPr>
                <w:rFonts w:ascii="Calibri Light" w:hAnsi="Calibri Light" w:cs="Arial"/>
                <w:sz w:val="20"/>
                <w:szCs w:val="20"/>
              </w:rPr>
            </w:pPr>
          </w:p>
        </w:tc>
        <w:tc>
          <w:tcPr>
            <w:tcW w:w="891" w:type="pct"/>
            <w:tcBorders>
              <w:top w:val="nil"/>
              <w:left w:val="nil"/>
              <w:bottom w:val="nil"/>
              <w:right w:val="nil"/>
            </w:tcBorders>
            <w:shd w:val="clear" w:color="auto" w:fill="auto"/>
            <w:noWrap/>
            <w:vAlign w:val="bottom"/>
            <w:hideMark/>
          </w:tcPr>
          <w:p w14:paraId="7DADB354" w14:textId="6EF883B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9,736 </w:t>
            </w:r>
          </w:p>
        </w:tc>
        <w:tc>
          <w:tcPr>
            <w:tcW w:w="136" w:type="pct"/>
            <w:tcBorders>
              <w:top w:val="nil"/>
              <w:left w:val="nil"/>
              <w:bottom w:val="nil"/>
              <w:right w:val="nil"/>
            </w:tcBorders>
            <w:shd w:val="clear" w:color="auto" w:fill="auto"/>
            <w:noWrap/>
            <w:vAlign w:val="bottom"/>
            <w:hideMark/>
          </w:tcPr>
          <w:p w14:paraId="0BC5A0F2"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nil"/>
              <w:right w:val="nil"/>
            </w:tcBorders>
            <w:shd w:val="clear" w:color="auto" w:fill="auto"/>
            <w:noWrap/>
            <w:vAlign w:val="bottom"/>
            <w:hideMark/>
          </w:tcPr>
          <w:p w14:paraId="37BC081B" w14:textId="140E2C4F"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9,437 </w:t>
            </w:r>
          </w:p>
        </w:tc>
        <w:tc>
          <w:tcPr>
            <w:tcW w:w="136" w:type="pct"/>
            <w:tcBorders>
              <w:top w:val="nil"/>
              <w:left w:val="nil"/>
              <w:bottom w:val="nil"/>
              <w:right w:val="nil"/>
            </w:tcBorders>
            <w:shd w:val="clear" w:color="auto" w:fill="auto"/>
            <w:noWrap/>
            <w:vAlign w:val="bottom"/>
            <w:hideMark/>
          </w:tcPr>
          <w:p w14:paraId="438FC362"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nil"/>
              <w:right w:val="nil"/>
            </w:tcBorders>
            <w:shd w:val="clear" w:color="auto" w:fill="auto"/>
            <w:noWrap/>
            <w:vAlign w:val="bottom"/>
            <w:hideMark/>
          </w:tcPr>
          <w:p w14:paraId="7D475CB1" w14:textId="10C94B6E"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   </w:t>
            </w:r>
          </w:p>
        </w:tc>
      </w:tr>
      <w:tr w:rsidR="00570A21" w:rsidRPr="00C84AFC" w14:paraId="5CE8AB15" w14:textId="77777777" w:rsidTr="00262A0E">
        <w:trPr>
          <w:trHeight w:val="300"/>
        </w:trPr>
        <w:tc>
          <w:tcPr>
            <w:tcW w:w="1731" w:type="pct"/>
            <w:tcBorders>
              <w:top w:val="nil"/>
              <w:left w:val="nil"/>
              <w:bottom w:val="nil"/>
              <w:right w:val="nil"/>
            </w:tcBorders>
            <w:shd w:val="clear" w:color="auto" w:fill="auto"/>
            <w:noWrap/>
            <w:vAlign w:val="bottom"/>
            <w:hideMark/>
          </w:tcPr>
          <w:p w14:paraId="04A10411" w14:textId="7BA3DDE5" w:rsidR="00393BAD" w:rsidRPr="00C84AFC" w:rsidRDefault="00393BAD" w:rsidP="00FE0ECF">
            <w:pPr>
              <w:rPr>
                <w:rFonts w:ascii="Calibri Light" w:hAnsi="Calibri Light" w:cs="Arial"/>
                <w:sz w:val="20"/>
                <w:szCs w:val="20"/>
              </w:rPr>
            </w:pPr>
            <w:r w:rsidRPr="00C84AFC">
              <w:rPr>
                <w:rFonts w:ascii="Calibri Light" w:hAnsi="Calibri Light" w:cs="Arial"/>
                <w:sz w:val="20"/>
                <w:szCs w:val="20"/>
              </w:rPr>
              <w:t>Interest bearing loans</w:t>
            </w:r>
          </w:p>
        </w:tc>
        <w:tc>
          <w:tcPr>
            <w:tcW w:w="355" w:type="pct"/>
            <w:tcBorders>
              <w:top w:val="nil"/>
              <w:left w:val="nil"/>
              <w:bottom w:val="nil"/>
              <w:right w:val="nil"/>
            </w:tcBorders>
            <w:shd w:val="clear" w:color="auto" w:fill="auto"/>
            <w:noWrap/>
            <w:vAlign w:val="bottom"/>
            <w:hideMark/>
          </w:tcPr>
          <w:p w14:paraId="3025BBAC" w14:textId="77777777" w:rsidR="00393BAD" w:rsidRPr="00C84AFC" w:rsidRDefault="00393BAD" w:rsidP="00FB0BDE">
            <w:pPr>
              <w:jc w:val="right"/>
              <w:rPr>
                <w:rFonts w:ascii="Calibri Light" w:hAnsi="Calibri Light" w:cs="Arial"/>
                <w:sz w:val="20"/>
                <w:szCs w:val="20"/>
              </w:rPr>
            </w:pPr>
          </w:p>
        </w:tc>
        <w:tc>
          <w:tcPr>
            <w:tcW w:w="891" w:type="pct"/>
            <w:tcBorders>
              <w:top w:val="nil"/>
              <w:left w:val="nil"/>
              <w:bottom w:val="single" w:sz="4" w:space="0" w:color="auto"/>
              <w:right w:val="nil"/>
            </w:tcBorders>
            <w:shd w:val="clear" w:color="auto" w:fill="auto"/>
            <w:noWrap/>
            <w:vAlign w:val="bottom"/>
            <w:hideMark/>
          </w:tcPr>
          <w:p w14:paraId="329D7181" w14:textId="33FCC59A" w:rsidR="00393BAD" w:rsidRPr="00C84AFC" w:rsidRDefault="00393BAD" w:rsidP="00FB0BDE">
            <w:pPr>
              <w:jc w:val="right"/>
              <w:rPr>
                <w:rFonts w:ascii="Calibri Light" w:hAnsi="Calibri Light" w:cs="Arial"/>
                <w:sz w:val="20"/>
                <w:szCs w:val="20"/>
              </w:rPr>
            </w:pPr>
            <w:r w:rsidRPr="00C84AFC">
              <w:rPr>
                <w:rFonts w:ascii="Calibri Light" w:hAnsi="Calibri Light" w:cs="Arial"/>
                <w:sz w:val="20"/>
                <w:szCs w:val="20"/>
              </w:rPr>
              <w:t xml:space="preserve">            217,135 </w:t>
            </w:r>
          </w:p>
        </w:tc>
        <w:tc>
          <w:tcPr>
            <w:tcW w:w="136" w:type="pct"/>
            <w:tcBorders>
              <w:top w:val="nil"/>
              <w:left w:val="nil"/>
              <w:bottom w:val="nil"/>
              <w:right w:val="nil"/>
            </w:tcBorders>
            <w:shd w:val="clear" w:color="auto" w:fill="auto"/>
            <w:noWrap/>
            <w:vAlign w:val="bottom"/>
            <w:hideMark/>
          </w:tcPr>
          <w:p w14:paraId="5D18284B" w14:textId="77777777" w:rsidR="00393BAD" w:rsidRPr="00C84AFC" w:rsidRDefault="00393BAD" w:rsidP="00FB0BDE">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02CEBB90" w14:textId="0335781F" w:rsidR="00393BAD" w:rsidRPr="00C84AFC" w:rsidRDefault="00393BAD" w:rsidP="00FB0BDE">
            <w:pPr>
              <w:jc w:val="right"/>
              <w:rPr>
                <w:rFonts w:ascii="Calibri Light" w:hAnsi="Calibri Light" w:cs="Arial"/>
                <w:sz w:val="20"/>
                <w:szCs w:val="20"/>
              </w:rPr>
            </w:pPr>
            <w:r w:rsidRPr="00C84AFC">
              <w:rPr>
                <w:rFonts w:ascii="Calibri Light" w:hAnsi="Calibri Light" w:cs="Arial"/>
                <w:sz w:val="20"/>
                <w:szCs w:val="20"/>
              </w:rPr>
              <w:t xml:space="preserve">           458,729 </w:t>
            </w:r>
          </w:p>
        </w:tc>
        <w:tc>
          <w:tcPr>
            <w:tcW w:w="136" w:type="pct"/>
            <w:tcBorders>
              <w:top w:val="nil"/>
              <w:left w:val="nil"/>
              <w:bottom w:val="nil"/>
              <w:right w:val="nil"/>
            </w:tcBorders>
            <w:shd w:val="clear" w:color="auto" w:fill="auto"/>
            <w:noWrap/>
            <w:vAlign w:val="bottom"/>
            <w:hideMark/>
          </w:tcPr>
          <w:p w14:paraId="4FFE2F85" w14:textId="77777777" w:rsidR="00393BAD" w:rsidRPr="00C84AFC" w:rsidRDefault="00393BAD" w:rsidP="00FB0BDE">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6571E19A" w14:textId="07EBAD6D" w:rsidR="00393BAD" w:rsidRPr="00C84AFC" w:rsidRDefault="00393BAD" w:rsidP="00FB0BDE">
            <w:pPr>
              <w:jc w:val="right"/>
              <w:rPr>
                <w:rFonts w:ascii="Calibri Light" w:hAnsi="Calibri Light" w:cs="Arial"/>
                <w:sz w:val="20"/>
                <w:szCs w:val="20"/>
              </w:rPr>
            </w:pPr>
            <w:r w:rsidRPr="00C84AFC">
              <w:rPr>
                <w:rFonts w:ascii="Calibri Light" w:hAnsi="Calibri Light" w:cs="Arial"/>
                <w:sz w:val="20"/>
                <w:szCs w:val="20"/>
              </w:rPr>
              <w:t xml:space="preserve">            140,969 </w:t>
            </w:r>
          </w:p>
        </w:tc>
      </w:tr>
      <w:tr w:rsidR="00570A21" w:rsidRPr="00C84AFC" w14:paraId="4961CCFE" w14:textId="77777777" w:rsidTr="00262A0E">
        <w:trPr>
          <w:trHeight w:val="300"/>
        </w:trPr>
        <w:tc>
          <w:tcPr>
            <w:tcW w:w="1731" w:type="pct"/>
            <w:tcBorders>
              <w:top w:val="nil"/>
              <w:left w:val="nil"/>
              <w:bottom w:val="nil"/>
              <w:right w:val="nil"/>
            </w:tcBorders>
            <w:shd w:val="clear" w:color="auto" w:fill="auto"/>
            <w:noWrap/>
            <w:vAlign w:val="bottom"/>
            <w:hideMark/>
          </w:tcPr>
          <w:p w14:paraId="5D39AC9C" w14:textId="77777777" w:rsidR="00393BAD" w:rsidRPr="00C84AFC" w:rsidRDefault="00393BAD">
            <w:pPr>
              <w:rPr>
                <w:rFonts w:ascii="Calibri Light" w:hAnsi="Calibri Light"/>
                <w:sz w:val="20"/>
                <w:szCs w:val="20"/>
              </w:rPr>
            </w:pPr>
          </w:p>
        </w:tc>
        <w:tc>
          <w:tcPr>
            <w:tcW w:w="355" w:type="pct"/>
            <w:tcBorders>
              <w:top w:val="nil"/>
              <w:left w:val="nil"/>
              <w:bottom w:val="nil"/>
              <w:right w:val="nil"/>
            </w:tcBorders>
            <w:shd w:val="clear" w:color="auto" w:fill="auto"/>
            <w:noWrap/>
            <w:vAlign w:val="bottom"/>
            <w:hideMark/>
          </w:tcPr>
          <w:p w14:paraId="089FD682" w14:textId="77777777" w:rsidR="00393BAD" w:rsidRPr="00C84AFC" w:rsidRDefault="00393BAD">
            <w:pPr>
              <w:rPr>
                <w:rFonts w:ascii="Calibri Light" w:hAnsi="Calibri Light"/>
                <w:sz w:val="20"/>
                <w:szCs w:val="20"/>
              </w:rPr>
            </w:pPr>
          </w:p>
        </w:tc>
        <w:tc>
          <w:tcPr>
            <w:tcW w:w="891" w:type="pct"/>
            <w:tcBorders>
              <w:top w:val="nil"/>
              <w:left w:val="nil"/>
              <w:bottom w:val="single" w:sz="4" w:space="0" w:color="auto"/>
              <w:right w:val="nil"/>
            </w:tcBorders>
            <w:shd w:val="clear" w:color="auto" w:fill="auto"/>
            <w:noWrap/>
            <w:vAlign w:val="bottom"/>
            <w:hideMark/>
          </w:tcPr>
          <w:p w14:paraId="76F4FA09" w14:textId="01851DED"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278,437 </w:t>
            </w:r>
          </w:p>
        </w:tc>
        <w:tc>
          <w:tcPr>
            <w:tcW w:w="136" w:type="pct"/>
            <w:tcBorders>
              <w:top w:val="nil"/>
              <w:left w:val="nil"/>
              <w:bottom w:val="nil"/>
              <w:right w:val="nil"/>
            </w:tcBorders>
            <w:shd w:val="clear" w:color="auto" w:fill="auto"/>
            <w:noWrap/>
            <w:vAlign w:val="bottom"/>
            <w:hideMark/>
          </w:tcPr>
          <w:p w14:paraId="2F29300B"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5A24EABD" w14:textId="3C2596F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620,740 </w:t>
            </w:r>
          </w:p>
        </w:tc>
        <w:tc>
          <w:tcPr>
            <w:tcW w:w="136" w:type="pct"/>
            <w:tcBorders>
              <w:top w:val="nil"/>
              <w:left w:val="nil"/>
              <w:bottom w:val="nil"/>
              <w:right w:val="nil"/>
            </w:tcBorders>
            <w:shd w:val="clear" w:color="auto" w:fill="auto"/>
            <w:noWrap/>
            <w:vAlign w:val="bottom"/>
            <w:hideMark/>
          </w:tcPr>
          <w:p w14:paraId="554E3F35"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35DBB955" w14:textId="2FEB0397"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193,861 </w:t>
            </w:r>
          </w:p>
        </w:tc>
      </w:tr>
      <w:tr w:rsidR="00570A21" w:rsidRPr="00C84AFC" w14:paraId="519265C8" w14:textId="77777777" w:rsidTr="00262A0E">
        <w:trPr>
          <w:trHeight w:val="120"/>
        </w:trPr>
        <w:tc>
          <w:tcPr>
            <w:tcW w:w="1731" w:type="pct"/>
            <w:tcBorders>
              <w:top w:val="nil"/>
              <w:left w:val="nil"/>
              <w:bottom w:val="nil"/>
              <w:right w:val="nil"/>
            </w:tcBorders>
            <w:shd w:val="clear" w:color="auto" w:fill="auto"/>
            <w:noWrap/>
            <w:vAlign w:val="bottom"/>
            <w:hideMark/>
          </w:tcPr>
          <w:p w14:paraId="48020151"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0FF9607D"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6CF749A3"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5D0F530" w14:textId="77777777" w:rsidR="00393BAD" w:rsidRPr="00C84AFC" w:rsidRDefault="00393BAD" w:rsidP="005E42BD">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1C5B1FC3" w14:textId="77777777" w:rsidR="00393BAD" w:rsidRPr="00C84AFC" w:rsidRDefault="00393BAD" w:rsidP="005E42BD">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6EDE2FD6" w14:textId="77777777" w:rsidR="00393BAD" w:rsidRPr="00C84AFC" w:rsidRDefault="00393BAD" w:rsidP="005E42BD">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5CDE2731" w14:textId="77777777" w:rsidR="00393BAD" w:rsidRPr="00C84AFC" w:rsidRDefault="00393BAD" w:rsidP="005E42BD">
            <w:pPr>
              <w:jc w:val="right"/>
              <w:rPr>
                <w:rFonts w:ascii="Calibri Light" w:hAnsi="Calibri Light"/>
                <w:sz w:val="20"/>
                <w:szCs w:val="20"/>
              </w:rPr>
            </w:pPr>
          </w:p>
        </w:tc>
      </w:tr>
      <w:tr w:rsidR="00570A21" w:rsidRPr="00C84AFC" w14:paraId="2EF12DCF" w14:textId="77777777" w:rsidTr="00262A0E">
        <w:trPr>
          <w:trHeight w:val="300"/>
        </w:trPr>
        <w:tc>
          <w:tcPr>
            <w:tcW w:w="1731" w:type="pct"/>
            <w:tcBorders>
              <w:top w:val="nil"/>
              <w:left w:val="nil"/>
              <w:bottom w:val="nil"/>
              <w:right w:val="nil"/>
            </w:tcBorders>
            <w:shd w:val="clear" w:color="auto" w:fill="auto"/>
            <w:noWrap/>
            <w:vAlign w:val="bottom"/>
            <w:hideMark/>
          </w:tcPr>
          <w:p w14:paraId="78578178"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TOTAL LIABILITIES</w:t>
            </w:r>
          </w:p>
        </w:tc>
        <w:tc>
          <w:tcPr>
            <w:tcW w:w="355" w:type="pct"/>
            <w:tcBorders>
              <w:top w:val="nil"/>
              <w:left w:val="nil"/>
              <w:bottom w:val="nil"/>
              <w:right w:val="nil"/>
            </w:tcBorders>
            <w:shd w:val="clear" w:color="auto" w:fill="auto"/>
            <w:noWrap/>
            <w:vAlign w:val="bottom"/>
            <w:hideMark/>
          </w:tcPr>
          <w:p w14:paraId="500ED44D" w14:textId="77777777" w:rsidR="00393BAD" w:rsidRPr="00C84AFC" w:rsidRDefault="00393BAD">
            <w:pPr>
              <w:rPr>
                <w:rFonts w:ascii="Calibri Light" w:hAnsi="Calibri Light" w:cs="Arial"/>
                <w:b/>
                <w:bCs/>
                <w:sz w:val="20"/>
                <w:szCs w:val="20"/>
              </w:rPr>
            </w:pPr>
          </w:p>
        </w:tc>
        <w:tc>
          <w:tcPr>
            <w:tcW w:w="891" w:type="pct"/>
            <w:tcBorders>
              <w:top w:val="nil"/>
              <w:left w:val="nil"/>
              <w:bottom w:val="single" w:sz="4" w:space="0" w:color="auto"/>
              <w:right w:val="nil"/>
            </w:tcBorders>
            <w:shd w:val="clear" w:color="auto" w:fill="auto"/>
            <w:noWrap/>
            <w:vAlign w:val="bottom"/>
            <w:hideMark/>
          </w:tcPr>
          <w:p w14:paraId="63F3639D" w14:textId="58849A51"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w:t>
            </w:r>
            <w:r w:rsidR="00DF459C" w:rsidRPr="00C84AFC">
              <w:rPr>
                <w:rFonts w:ascii="Calibri Light" w:hAnsi="Calibri Light" w:cs="Arial"/>
                <w:sz w:val="20"/>
                <w:szCs w:val="20"/>
              </w:rPr>
              <w:t>2,</w:t>
            </w:r>
            <w:r w:rsidR="007C0F15" w:rsidRPr="00C84AFC">
              <w:rPr>
                <w:rFonts w:ascii="Calibri Light" w:hAnsi="Calibri Light" w:cs="Arial"/>
                <w:sz w:val="20"/>
                <w:szCs w:val="20"/>
              </w:rPr>
              <w:t>366,770</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0B416F7B"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single" w:sz="4" w:space="0" w:color="auto"/>
              <w:right w:val="nil"/>
            </w:tcBorders>
            <w:shd w:val="clear" w:color="auto" w:fill="auto"/>
            <w:noWrap/>
            <w:vAlign w:val="bottom"/>
            <w:hideMark/>
          </w:tcPr>
          <w:p w14:paraId="685E754F" w14:textId="63F86ED0"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982,615 </w:t>
            </w:r>
          </w:p>
        </w:tc>
        <w:tc>
          <w:tcPr>
            <w:tcW w:w="136" w:type="pct"/>
            <w:tcBorders>
              <w:top w:val="nil"/>
              <w:left w:val="nil"/>
              <w:bottom w:val="nil"/>
              <w:right w:val="nil"/>
            </w:tcBorders>
            <w:shd w:val="clear" w:color="auto" w:fill="auto"/>
            <w:noWrap/>
            <w:vAlign w:val="bottom"/>
            <w:hideMark/>
          </w:tcPr>
          <w:p w14:paraId="0AC73750"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single" w:sz="4" w:space="0" w:color="auto"/>
              <w:right w:val="nil"/>
            </w:tcBorders>
            <w:shd w:val="clear" w:color="auto" w:fill="auto"/>
            <w:noWrap/>
            <w:vAlign w:val="bottom"/>
            <w:hideMark/>
          </w:tcPr>
          <w:p w14:paraId="17A1A2D9" w14:textId="7FBFC62F"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481,487 </w:t>
            </w:r>
          </w:p>
        </w:tc>
      </w:tr>
      <w:tr w:rsidR="00570A21" w:rsidRPr="00C84AFC" w14:paraId="3D5F3748" w14:textId="77777777" w:rsidTr="00262A0E">
        <w:trPr>
          <w:trHeight w:val="120"/>
        </w:trPr>
        <w:tc>
          <w:tcPr>
            <w:tcW w:w="1731" w:type="pct"/>
            <w:tcBorders>
              <w:top w:val="nil"/>
              <w:left w:val="nil"/>
              <w:bottom w:val="nil"/>
              <w:right w:val="nil"/>
            </w:tcBorders>
            <w:shd w:val="clear" w:color="auto" w:fill="auto"/>
            <w:noWrap/>
            <w:vAlign w:val="bottom"/>
            <w:hideMark/>
          </w:tcPr>
          <w:p w14:paraId="757722E8" w14:textId="77777777" w:rsidR="00393BAD" w:rsidRPr="00C84AFC" w:rsidRDefault="00393BAD">
            <w:pPr>
              <w:rPr>
                <w:rFonts w:ascii="Calibri Light" w:hAnsi="Calibri Light" w:cs="Arial"/>
                <w:sz w:val="20"/>
                <w:szCs w:val="20"/>
              </w:rPr>
            </w:pPr>
          </w:p>
        </w:tc>
        <w:tc>
          <w:tcPr>
            <w:tcW w:w="355" w:type="pct"/>
            <w:tcBorders>
              <w:top w:val="nil"/>
              <w:left w:val="nil"/>
              <w:bottom w:val="nil"/>
              <w:right w:val="nil"/>
            </w:tcBorders>
            <w:shd w:val="clear" w:color="auto" w:fill="auto"/>
            <w:noWrap/>
            <w:vAlign w:val="bottom"/>
            <w:hideMark/>
          </w:tcPr>
          <w:p w14:paraId="76830DC6" w14:textId="77777777" w:rsidR="00393BAD" w:rsidRPr="00C84AFC" w:rsidRDefault="00393BAD">
            <w:pPr>
              <w:rPr>
                <w:rFonts w:ascii="Calibri Light" w:hAnsi="Calibri Light"/>
                <w:sz w:val="20"/>
                <w:szCs w:val="20"/>
              </w:rPr>
            </w:pPr>
          </w:p>
        </w:tc>
        <w:tc>
          <w:tcPr>
            <w:tcW w:w="891" w:type="pct"/>
            <w:tcBorders>
              <w:top w:val="nil"/>
              <w:left w:val="nil"/>
              <w:bottom w:val="nil"/>
              <w:right w:val="nil"/>
            </w:tcBorders>
            <w:shd w:val="clear" w:color="auto" w:fill="auto"/>
            <w:noWrap/>
            <w:vAlign w:val="bottom"/>
            <w:hideMark/>
          </w:tcPr>
          <w:p w14:paraId="1CB44990" w14:textId="77777777" w:rsidR="00393BAD" w:rsidRPr="00C84AFC" w:rsidRDefault="00393BAD" w:rsidP="008A3274">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4B76CAB1" w14:textId="77777777" w:rsidR="00393BAD" w:rsidRPr="00C84AFC" w:rsidRDefault="00393BAD" w:rsidP="008A3274">
            <w:pPr>
              <w:jc w:val="right"/>
              <w:rPr>
                <w:rFonts w:ascii="Calibri Light" w:hAnsi="Calibri Light"/>
                <w:sz w:val="20"/>
                <w:szCs w:val="20"/>
              </w:rPr>
            </w:pPr>
          </w:p>
        </w:tc>
        <w:tc>
          <w:tcPr>
            <w:tcW w:w="859" w:type="pct"/>
            <w:tcBorders>
              <w:top w:val="nil"/>
              <w:left w:val="nil"/>
              <w:bottom w:val="nil"/>
              <w:right w:val="nil"/>
            </w:tcBorders>
            <w:shd w:val="clear" w:color="auto" w:fill="auto"/>
            <w:noWrap/>
            <w:vAlign w:val="bottom"/>
            <w:hideMark/>
          </w:tcPr>
          <w:p w14:paraId="274AB6AD" w14:textId="77777777" w:rsidR="00393BAD" w:rsidRPr="00C84AFC" w:rsidRDefault="00393BAD" w:rsidP="008A3274">
            <w:pPr>
              <w:jc w:val="right"/>
              <w:rPr>
                <w:rFonts w:ascii="Calibri Light" w:hAnsi="Calibri Light"/>
                <w:sz w:val="20"/>
                <w:szCs w:val="20"/>
              </w:rPr>
            </w:pPr>
          </w:p>
        </w:tc>
        <w:tc>
          <w:tcPr>
            <w:tcW w:w="136" w:type="pct"/>
            <w:tcBorders>
              <w:top w:val="nil"/>
              <w:left w:val="nil"/>
              <w:bottom w:val="nil"/>
              <w:right w:val="nil"/>
            </w:tcBorders>
            <w:shd w:val="clear" w:color="auto" w:fill="auto"/>
            <w:noWrap/>
            <w:vAlign w:val="bottom"/>
            <w:hideMark/>
          </w:tcPr>
          <w:p w14:paraId="784EE489" w14:textId="77777777" w:rsidR="00393BAD" w:rsidRPr="00C84AFC" w:rsidRDefault="00393BAD" w:rsidP="008A3274">
            <w:pPr>
              <w:jc w:val="right"/>
              <w:rPr>
                <w:rFonts w:ascii="Calibri Light" w:hAnsi="Calibri Light"/>
                <w:sz w:val="20"/>
                <w:szCs w:val="20"/>
              </w:rPr>
            </w:pPr>
          </w:p>
        </w:tc>
        <w:tc>
          <w:tcPr>
            <w:tcW w:w="892" w:type="pct"/>
            <w:tcBorders>
              <w:top w:val="nil"/>
              <w:left w:val="nil"/>
              <w:bottom w:val="nil"/>
              <w:right w:val="nil"/>
            </w:tcBorders>
            <w:shd w:val="clear" w:color="auto" w:fill="auto"/>
            <w:noWrap/>
            <w:vAlign w:val="bottom"/>
            <w:hideMark/>
          </w:tcPr>
          <w:p w14:paraId="05A245DF" w14:textId="77777777" w:rsidR="00393BAD" w:rsidRPr="00C84AFC" w:rsidRDefault="00393BAD" w:rsidP="008A3274">
            <w:pPr>
              <w:jc w:val="right"/>
              <w:rPr>
                <w:rFonts w:ascii="Calibri Light" w:hAnsi="Calibri Light"/>
                <w:sz w:val="20"/>
                <w:szCs w:val="20"/>
              </w:rPr>
            </w:pPr>
          </w:p>
        </w:tc>
      </w:tr>
      <w:tr w:rsidR="00570A21" w:rsidRPr="00C84AFC" w14:paraId="622B8C03" w14:textId="77777777" w:rsidTr="00262A0E">
        <w:trPr>
          <w:trHeight w:val="315"/>
        </w:trPr>
        <w:tc>
          <w:tcPr>
            <w:tcW w:w="1731" w:type="pct"/>
            <w:tcBorders>
              <w:top w:val="nil"/>
              <w:left w:val="nil"/>
              <w:bottom w:val="nil"/>
              <w:right w:val="nil"/>
            </w:tcBorders>
            <w:shd w:val="clear" w:color="auto" w:fill="auto"/>
            <w:noWrap/>
            <w:vAlign w:val="bottom"/>
            <w:hideMark/>
          </w:tcPr>
          <w:p w14:paraId="08D892A3" w14:textId="77777777" w:rsidR="00393BAD" w:rsidRPr="00C84AFC" w:rsidRDefault="00393BAD">
            <w:pPr>
              <w:rPr>
                <w:rFonts w:ascii="Calibri Light" w:hAnsi="Calibri Light" w:cs="Arial"/>
                <w:b/>
                <w:bCs/>
                <w:sz w:val="20"/>
                <w:szCs w:val="20"/>
              </w:rPr>
            </w:pPr>
            <w:r w:rsidRPr="00C84AFC">
              <w:rPr>
                <w:rFonts w:ascii="Calibri Light" w:hAnsi="Calibri Light" w:cs="Arial"/>
                <w:b/>
                <w:bCs/>
                <w:sz w:val="20"/>
                <w:szCs w:val="20"/>
              </w:rPr>
              <w:t>TOTAL EQUITY AND LIABILITIES</w:t>
            </w:r>
          </w:p>
        </w:tc>
        <w:tc>
          <w:tcPr>
            <w:tcW w:w="355" w:type="pct"/>
            <w:tcBorders>
              <w:top w:val="nil"/>
              <w:left w:val="nil"/>
              <w:bottom w:val="nil"/>
              <w:right w:val="nil"/>
            </w:tcBorders>
            <w:shd w:val="clear" w:color="auto" w:fill="auto"/>
            <w:noWrap/>
            <w:vAlign w:val="bottom"/>
            <w:hideMark/>
          </w:tcPr>
          <w:p w14:paraId="777E23A5" w14:textId="77777777" w:rsidR="00393BAD" w:rsidRPr="00C84AFC" w:rsidRDefault="00393BAD">
            <w:pPr>
              <w:rPr>
                <w:rFonts w:ascii="Calibri Light" w:hAnsi="Calibri Light" w:cs="Arial"/>
                <w:b/>
                <w:bCs/>
                <w:sz w:val="20"/>
                <w:szCs w:val="20"/>
              </w:rPr>
            </w:pPr>
          </w:p>
        </w:tc>
        <w:tc>
          <w:tcPr>
            <w:tcW w:w="891" w:type="pct"/>
            <w:tcBorders>
              <w:top w:val="nil"/>
              <w:left w:val="nil"/>
              <w:bottom w:val="double" w:sz="6" w:space="0" w:color="auto"/>
              <w:right w:val="nil"/>
            </w:tcBorders>
            <w:shd w:val="clear" w:color="auto" w:fill="auto"/>
            <w:noWrap/>
            <w:vAlign w:val="bottom"/>
            <w:hideMark/>
          </w:tcPr>
          <w:p w14:paraId="3D2A6621" w14:textId="722106A4"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1</w:t>
            </w:r>
            <w:r w:rsidR="007C0F15" w:rsidRPr="00C84AFC">
              <w:rPr>
                <w:rFonts w:ascii="Calibri Light" w:hAnsi="Calibri Light" w:cs="Arial"/>
                <w:sz w:val="20"/>
                <w:szCs w:val="20"/>
              </w:rPr>
              <w:t>8,698,398</w:t>
            </w:r>
            <w:r w:rsidRPr="00C84AFC">
              <w:rPr>
                <w:rFonts w:ascii="Calibri Light" w:hAnsi="Calibri Light" w:cs="Arial"/>
                <w:sz w:val="20"/>
                <w:szCs w:val="20"/>
              </w:rPr>
              <w:t xml:space="preserve"> </w:t>
            </w:r>
          </w:p>
        </w:tc>
        <w:tc>
          <w:tcPr>
            <w:tcW w:w="136" w:type="pct"/>
            <w:tcBorders>
              <w:top w:val="nil"/>
              <w:left w:val="nil"/>
              <w:bottom w:val="nil"/>
              <w:right w:val="nil"/>
            </w:tcBorders>
            <w:shd w:val="clear" w:color="auto" w:fill="auto"/>
            <w:noWrap/>
            <w:vAlign w:val="bottom"/>
            <w:hideMark/>
          </w:tcPr>
          <w:p w14:paraId="1E9CDD20" w14:textId="77777777" w:rsidR="00393BAD" w:rsidRPr="00C84AFC" w:rsidRDefault="00393BAD" w:rsidP="005E42BD">
            <w:pPr>
              <w:jc w:val="right"/>
              <w:rPr>
                <w:rFonts w:ascii="Calibri Light" w:hAnsi="Calibri Light" w:cs="Arial"/>
                <w:sz w:val="20"/>
                <w:szCs w:val="20"/>
              </w:rPr>
            </w:pPr>
          </w:p>
        </w:tc>
        <w:tc>
          <w:tcPr>
            <w:tcW w:w="859" w:type="pct"/>
            <w:tcBorders>
              <w:top w:val="nil"/>
              <w:left w:val="nil"/>
              <w:bottom w:val="double" w:sz="6" w:space="0" w:color="auto"/>
              <w:right w:val="nil"/>
            </w:tcBorders>
            <w:shd w:val="clear" w:color="auto" w:fill="auto"/>
            <w:noWrap/>
            <w:vAlign w:val="bottom"/>
            <w:hideMark/>
          </w:tcPr>
          <w:p w14:paraId="02DBE600" w14:textId="08D01E63"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6,547,946 </w:t>
            </w:r>
          </w:p>
        </w:tc>
        <w:tc>
          <w:tcPr>
            <w:tcW w:w="136" w:type="pct"/>
            <w:tcBorders>
              <w:top w:val="nil"/>
              <w:left w:val="nil"/>
              <w:bottom w:val="nil"/>
              <w:right w:val="nil"/>
            </w:tcBorders>
            <w:shd w:val="clear" w:color="auto" w:fill="auto"/>
            <w:noWrap/>
            <w:vAlign w:val="bottom"/>
            <w:hideMark/>
          </w:tcPr>
          <w:p w14:paraId="49134B84" w14:textId="77777777" w:rsidR="00393BAD" w:rsidRPr="00C84AFC" w:rsidRDefault="00393BAD" w:rsidP="005E42BD">
            <w:pPr>
              <w:jc w:val="right"/>
              <w:rPr>
                <w:rFonts w:ascii="Calibri Light" w:hAnsi="Calibri Light" w:cs="Arial"/>
                <w:sz w:val="20"/>
                <w:szCs w:val="20"/>
              </w:rPr>
            </w:pPr>
          </w:p>
        </w:tc>
        <w:tc>
          <w:tcPr>
            <w:tcW w:w="892" w:type="pct"/>
            <w:tcBorders>
              <w:top w:val="nil"/>
              <w:left w:val="nil"/>
              <w:bottom w:val="double" w:sz="6" w:space="0" w:color="auto"/>
              <w:right w:val="nil"/>
            </w:tcBorders>
            <w:shd w:val="clear" w:color="auto" w:fill="auto"/>
            <w:noWrap/>
            <w:vAlign w:val="bottom"/>
            <w:hideMark/>
          </w:tcPr>
          <w:p w14:paraId="0444E5AB" w14:textId="7E6F4ECE" w:rsidR="00393BAD" w:rsidRPr="00C84AFC" w:rsidRDefault="00393BAD" w:rsidP="005E42BD">
            <w:pPr>
              <w:jc w:val="right"/>
              <w:rPr>
                <w:rFonts w:ascii="Calibri Light" w:hAnsi="Calibri Light" w:cs="Arial"/>
                <w:sz w:val="20"/>
                <w:szCs w:val="20"/>
              </w:rPr>
            </w:pPr>
            <w:r w:rsidRPr="00C84AFC">
              <w:rPr>
                <w:rFonts w:ascii="Calibri Light" w:hAnsi="Calibri Light" w:cs="Arial"/>
                <w:sz w:val="20"/>
                <w:szCs w:val="20"/>
              </w:rPr>
              <w:t xml:space="preserve">        8,984,437 </w:t>
            </w:r>
          </w:p>
        </w:tc>
      </w:tr>
    </w:tbl>
    <w:p w14:paraId="644002BE" w14:textId="77777777" w:rsidR="002F0D3C" w:rsidRPr="006645AF" w:rsidRDefault="002F0D3C">
      <w:pPr>
        <w:rPr>
          <w:rFonts w:ascii="Calibri Light" w:hAnsi="Calibri Light" w:cs="Calibri Light"/>
          <w:sz w:val="22"/>
          <w:szCs w:val="22"/>
        </w:rPr>
        <w:sectPr w:rsidR="002F0D3C" w:rsidRPr="006645AF" w:rsidSect="00C84AFC">
          <w:footerReference w:type="default" r:id="rId12"/>
          <w:pgSz w:w="12240" w:h="15840"/>
          <w:pgMar w:top="851" w:right="1418" w:bottom="851" w:left="1418" w:header="709" w:footer="709" w:gutter="0"/>
          <w:cols w:space="708"/>
          <w:docGrid w:linePitch="360"/>
        </w:sectPr>
      </w:pPr>
    </w:p>
    <w:p w14:paraId="49663393" w14:textId="77777777" w:rsidR="00817BDC" w:rsidRPr="006645AF" w:rsidRDefault="00B96693" w:rsidP="0008799D">
      <w:pPr>
        <w:rPr>
          <w:rFonts w:ascii="Calibri Light" w:hAnsi="Calibri Light" w:cs="Calibri Light"/>
          <w:b/>
          <w:sz w:val="22"/>
          <w:szCs w:val="22"/>
        </w:rPr>
      </w:pPr>
      <w:r w:rsidRPr="006645AF">
        <w:rPr>
          <w:rFonts w:ascii="Calibri Light" w:hAnsi="Calibri Light" w:cs="Calibri Light"/>
          <w:b/>
          <w:sz w:val="22"/>
          <w:szCs w:val="22"/>
        </w:rPr>
        <w:lastRenderedPageBreak/>
        <w:t>S</w:t>
      </w:r>
      <w:r w:rsidR="00683425" w:rsidRPr="006645AF">
        <w:rPr>
          <w:rFonts w:ascii="Calibri Light" w:hAnsi="Calibri Light" w:cs="Calibri Light"/>
          <w:b/>
          <w:sz w:val="22"/>
          <w:szCs w:val="22"/>
        </w:rPr>
        <w:t>tatement of changes in equity</w:t>
      </w:r>
    </w:p>
    <w:p w14:paraId="644002C0" w14:textId="183A0DFD" w:rsidR="002F0D3C" w:rsidRPr="006645AF" w:rsidRDefault="00683425" w:rsidP="00D95759">
      <w:pPr>
        <w:ind w:right="-57"/>
        <w:rPr>
          <w:rFonts w:ascii="Calibri Light" w:hAnsi="Calibri Light" w:cs="Calibri Light"/>
          <w:b/>
          <w:sz w:val="22"/>
          <w:szCs w:val="22"/>
        </w:rPr>
      </w:pPr>
      <w:r w:rsidRPr="006645AF">
        <w:rPr>
          <w:rFonts w:ascii="Calibri Light" w:hAnsi="Calibri Light" w:cs="Calibri Light"/>
          <w:b/>
          <w:sz w:val="22"/>
          <w:szCs w:val="22"/>
        </w:rPr>
        <w:t xml:space="preserve">For the six months ended </w:t>
      </w:r>
      <w:r w:rsidR="0017043A" w:rsidRPr="006645AF">
        <w:rPr>
          <w:rFonts w:ascii="Calibri Light" w:hAnsi="Calibri Light" w:cs="Calibri Light"/>
          <w:b/>
          <w:sz w:val="22"/>
          <w:szCs w:val="22"/>
        </w:rPr>
        <w:t>30</w:t>
      </w:r>
      <w:r w:rsidR="00486FD1" w:rsidRPr="006645AF">
        <w:rPr>
          <w:rFonts w:ascii="Calibri Light" w:hAnsi="Calibri Light" w:cs="Calibri Light"/>
          <w:b/>
          <w:sz w:val="22"/>
          <w:szCs w:val="22"/>
        </w:rPr>
        <w:t xml:space="preserve"> Ju</w:t>
      </w:r>
      <w:r w:rsidR="0017043A" w:rsidRPr="006645AF">
        <w:rPr>
          <w:rFonts w:ascii="Calibri Light" w:hAnsi="Calibri Light" w:cs="Calibri Light"/>
          <w:b/>
          <w:sz w:val="22"/>
          <w:szCs w:val="22"/>
        </w:rPr>
        <w:t>ne</w:t>
      </w:r>
      <w:r w:rsidR="00303A5F" w:rsidRPr="006645AF">
        <w:rPr>
          <w:rFonts w:ascii="Calibri Light" w:hAnsi="Calibri Light" w:cs="Calibri Light"/>
          <w:b/>
          <w:sz w:val="22"/>
          <w:szCs w:val="22"/>
        </w:rPr>
        <w:t xml:space="preserve"> 20</w:t>
      </w:r>
      <w:r w:rsidR="00A55AE1" w:rsidRPr="006645AF">
        <w:rPr>
          <w:rFonts w:ascii="Calibri Light" w:hAnsi="Calibri Light" w:cs="Calibri Light"/>
          <w:b/>
          <w:sz w:val="22"/>
          <w:szCs w:val="22"/>
        </w:rPr>
        <w:t>2</w:t>
      </w:r>
      <w:r w:rsidR="00AE6BAC">
        <w:rPr>
          <w:rFonts w:ascii="Calibri Light" w:hAnsi="Calibri Light" w:cs="Calibri Light"/>
          <w:b/>
          <w:sz w:val="22"/>
          <w:szCs w:val="22"/>
        </w:rPr>
        <w:t>2</w:t>
      </w:r>
    </w:p>
    <w:tbl>
      <w:tblPr>
        <w:tblW w:w="14072" w:type="dxa"/>
        <w:tblLayout w:type="fixed"/>
        <w:tblLook w:val="04A0" w:firstRow="1" w:lastRow="0" w:firstColumn="1" w:lastColumn="0" w:noHBand="0" w:noVBand="1"/>
      </w:tblPr>
      <w:tblGrid>
        <w:gridCol w:w="3481"/>
        <w:gridCol w:w="236"/>
        <w:gridCol w:w="1304"/>
        <w:gridCol w:w="236"/>
        <w:gridCol w:w="1229"/>
        <w:gridCol w:w="236"/>
        <w:gridCol w:w="1349"/>
        <w:gridCol w:w="236"/>
        <w:gridCol w:w="1293"/>
        <w:gridCol w:w="236"/>
        <w:gridCol w:w="1124"/>
        <w:gridCol w:w="236"/>
        <w:gridCol w:w="1236"/>
        <w:gridCol w:w="236"/>
        <w:gridCol w:w="1404"/>
      </w:tblGrid>
      <w:tr w:rsidR="00263AF8" w14:paraId="7BA98644" w14:textId="77777777" w:rsidTr="00C37A27">
        <w:trPr>
          <w:trHeight w:val="283"/>
        </w:trPr>
        <w:tc>
          <w:tcPr>
            <w:tcW w:w="3481" w:type="dxa"/>
            <w:tcBorders>
              <w:top w:val="nil"/>
              <w:left w:val="nil"/>
              <w:bottom w:val="nil"/>
              <w:right w:val="nil"/>
            </w:tcBorders>
            <w:shd w:val="clear" w:color="auto" w:fill="auto"/>
            <w:noWrap/>
            <w:vAlign w:val="bottom"/>
            <w:hideMark/>
          </w:tcPr>
          <w:p w14:paraId="287FE6E2" w14:textId="77777777" w:rsidR="002B350E" w:rsidRDefault="002B350E">
            <w:pPr>
              <w:rPr>
                <w:sz w:val="20"/>
                <w:szCs w:val="20"/>
                <w:lang w:eastAsia="en-GB"/>
              </w:rPr>
            </w:pPr>
          </w:p>
        </w:tc>
        <w:tc>
          <w:tcPr>
            <w:tcW w:w="236" w:type="dxa"/>
            <w:tcBorders>
              <w:top w:val="nil"/>
              <w:left w:val="nil"/>
              <w:bottom w:val="nil"/>
              <w:right w:val="nil"/>
            </w:tcBorders>
            <w:shd w:val="clear" w:color="auto" w:fill="auto"/>
            <w:noWrap/>
            <w:vAlign w:val="bottom"/>
            <w:hideMark/>
          </w:tcPr>
          <w:p w14:paraId="4DC92B7E" w14:textId="77777777" w:rsidR="002B350E" w:rsidRDefault="002B350E">
            <w:pPr>
              <w:rPr>
                <w:sz w:val="20"/>
                <w:szCs w:val="20"/>
              </w:rPr>
            </w:pPr>
          </w:p>
        </w:tc>
        <w:tc>
          <w:tcPr>
            <w:tcW w:w="1304" w:type="dxa"/>
            <w:tcBorders>
              <w:top w:val="nil"/>
              <w:left w:val="nil"/>
              <w:bottom w:val="nil"/>
              <w:right w:val="nil"/>
            </w:tcBorders>
            <w:shd w:val="clear" w:color="auto" w:fill="auto"/>
            <w:noWrap/>
            <w:vAlign w:val="bottom"/>
            <w:hideMark/>
          </w:tcPr>
          <w:p w14:paraId="39964DE0"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563660B1" w14:textId="77777777" w:rsidR="002B350E" w:rsidRDefault="002B350E">
            <w:pPr>
              <w:rPr>
                <w:sz w:val="20"/>
                <w:szCs w:val="20"/>
              </w:rPr>
            </w:pPr>
          </w:p>
        </w:tc>
        <w:tc>
          <w:tcPr>
            <w:tcW w:w="1229" w:type="dxa"/>
            <w:tcBorders>
              <w:top w:val="nil"/>
              <w:left w:val="nil"/>
              <w:bottom w:val="nil"/>
              <w:right w:val="nil"/>
            </w:tcBorders>
            <w:shd w:val="clear" w:color="auto" w:fill="auto"/>
            <w:noWrap/>
            <w:vAlign w:val="bottom"/>
            <w:hideMark/>
          </w:tcPr>
          <w:p w14:paraId="7F2849BA"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47A16632" w14:textId="77777777" w:rsidR="002B350E" w:rsidRDefault="002B350E">
            <w:pPr>
              <w:rPr>
                <w:sz w:val="20"/>
                <w:szCs w:val="20"/>
              </w:rPr>
            </w:pPr>
          </w:p>
        </w:tc>
        <w:tc>
          <w:tcPr>
            <w:tcW w:w="1349" w:type="dxa"/>
            <w:tcBorders>
              <w:top w:val="nil"/>
              <w:left w:val="nil"/>
              <w:bottom w:val="nil"/>
              <w:right w:val="nil"/>
            </w:tcBorders>
            <w:shd w:val="clear" w:color="auto" w:fill="auto"/>
            <w:noWrap/>
            <w:vAlign w:val="bottom"/>
            <w:hideMark/>
          </w:tcPr>
          <w:p w14:paraId="15DA6F4C" w14:textId="77777777" w:rsidR="002B350E" w:rsidRDefault="002B350E">
            <w:pPr>
              <w:jc w:val="center"/>
              <w:rPr>
                <w:sz w:val="20"/>
                <w:szCs w:val="20"/>
              </w:rPr>
            </w:pPr>
          </w:p>
        </w:tc>
        <w:tc>
          <w:tcPr>
            <w:tcW w:w="236" w:type="dxa"/>
            <w:tcBorders>
              <w:top w:val="nil"/>
              <w:left w:val="nil"/>
              <w:bottom w:val="nil"/>
              <w:right w:val="nil"/>
            </w:tcBorders>
            <w:shd w:val="clear" w:color="auto" w:fill="auto"/>
            <w:noWrap/>
            <w:vAlign w:val="bottom"/>
            <w:hideMark/>
          </w:tcPr>
          <w:p w14:paraId="77EC75FF" w14:textId="77777777" w:rsidR="002B350E" w:rsidRDefault="002B350E">
            <w:pPr>
              <w:rPr>
                <w:sz w:val="20"/>
                <w:szCs w:val="20"/>
              </w:rPr>
            </w:pPr>
          </w:p>
        </w:tc>
        <w:tc>
          <w:tcPr>
            <w:tcW w:w="1293" w:type="dxa"/>
            <w:tcBorders>
              <w:top w:val="nil"/>
              <w:left w:val="nil"/>
              <w:bottom w:val="nil"/>
              <w:right w:val="nil"/>
            </w:tcBorders>
            <w:shd w:val="clear" w:color="auto" w:fill="auto"/>
            <w:noWrap/>
            <w:vAlign w:val="bottom"/>
            <w:hideMark/>
          </w:tcPr>
          <w:p w14:paraId="4577AB1A"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Capital</w:t>
            </w:r>
          </w:p>
        </w:tc>
        <w:tc>
          <w:tcPr>
            <w:tcW w:w="236" w:type="dxa"/>
            <w:tcBorders>
              <w:top w:val="nil"/>
              <w:left w:val="nil"/>
              <w:bottom w:val="nil"/>
              <w:right w:val="nil"/>
            </w:tcBorders>
            <w:shd w:val="clear" w:color="auto" w:fill="auto"/>
            <w:noWrap/>
            <w:vAlign w:val="bottom"/>
            <w:hideMark/>
          </w:tcPr>
          <w:p w14:paraId="1AEBDAD7" w14:textId="77777777" w:rsidR="002B350E" w:rsidRDefault="002B350E">
            <w:pPr>
              <w:jc w:val="right"/>
              <w:rPr>
                <w:rFonts w:ascii="Calibri Light" w:hAnsi="Calibri Light" w:cs="Arial"/>
                <w:b/>
                <w:bCs/>
                <w:sz w:val="22"/>
                <w:szCs w:val="22"/>
              </w:rPr>
            </w:pPr>
          </w:p>
        </w:tc>
        <w:tc>
          <w:tcPr>
            <w:tcW w:w="1124" w:type="dxa"/>
            <w:tcBorders>
              <w:top w:val="nil"/>
              <w:left w:val="nil"/>
              <w:bottom w:val="nil"/>
              <w:right w:val="nil"/>
            </w:tcBorders>
            <w:shd w:val="clear" w:color="auto" w:fill="auto"/>
            <w:noWrap/>
            <w:vAlign w:val="bottom"/>
            <w:hideMark/>
          </w:tcPr>
          <w:p w14:paraId="65372E23"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10F1F239" w14:textId="77777777" w:rsidR="002B350E" w:rsidRDefault="002B350E">
            <w:pPr>
              <w:rPr>
                <w:sz w:val="20"/>
                <w:szCs w:val="20"/>
              </w:rPr>
            </w:pPr>
          </w:p>
        </w:tc>
        <w:tc>
          <w:tcPr>
            <w:tcW w:w="1236" w:type="dxa"/>
            <w:tcBorders>
              <w:top w:val="nil"/>
              <w:left w:val="nil"/>
              <w:bottom w:val="nil"/>
              <w:right w:val="nil"/>
            </w:tcBorders>
            <w:shd w:val="clear" w:color="auto" w:fill="auto"/>
            <w:noWrap/>
            <w:vAlign w:val="bottom"/>
            <w:hideMark/>
          </w:tcPr>
          <w:p w14:paraId="2CE631B3"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160D7453" w14:textId="77777777" w:rsidR="002B350E" w:rsidRDefault="002B350E">
            <w:pPr>
              <w:rPr>
                <w:sz w:val="20"/>
                <w:szCs w:val="20"/>
              </w:rPr>
            </w:pPr>
          </w:p>
        </w:tc>
        <w:tc>
          <w:tcPr>
            <w:tcW w:w="1404" w:type="dxa"/>
            <w:tcBorders>
              <w:top w:val="nil"/>
              <w:left w:val="nil"/>
              <w:bottom w:val="nil"/>
              <w:right w:val="nil"/>
            </w:tcBorders>
            <w:shd w:val="clear" w:color="auto" w:fill="auto"/>
            <w:noWrap/>
            <w:vAlign w:val="bottom"/>
            <w:hideMark/>
          </w:tcPr>
          <w:p w14:paraId="1D3454E5" w14:textId="77777777" w:rsidR="002B350E" w:rsidRDefault="002B350E">
            <w:pPr>
              <w:rPr>
                <w:sz w:val="20"/>
                <w:szCs w:val="20"/>
              </w:rPr>
            </w:pPr>
          </w:p>
        </w:tc>
      </w:tr>
      <w:tr w:rsidR="00263AF8" w14:paraId="238327D1" w14:textId="77777777" w:rsidTr="00C37A27">
        <w:trPr>
          <w:trHeight w:val="283"/>
        </w:trPr>
        <w:tc>
          <w:tcPr>
            <w:tcW w:w="3481" w:type="dxa"/>
            <w:tcBorders>
              <w:top w:val="nil"/>
              <w:left w:val="nil"/>
              <w:bottom w:val="nil"/>
              <w:right w:val="nil"/>
            </w:tcBorders>
            <w:shd w:val="clear" w:color="auto" w:fill="auto"/>
            <w:noWrap/>
            <w:vAlign w:val="bottom"/>
            <w:hideMark/>
          </w:tcPr>
          <w:p w14:paraId="3190DDEF"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1D9EDDC9" w14:textId="77777777" w:rsidR="002B350E" w:rsidRDefault="002B350E">
            <w:pPr>
              <w:rPr>
                <w:sz w:val="20"/>
                <w:szCs w:val="20"/>
              </w:rPr>
            </w:pPr>
          </w:p>
        </w:tc>
        <w:tc>
          <w:tcPr>
            <w:tcW w:w="1304" w:type="dxa"/>
            <w:tcBorders>
              <w:top w:val="nil"/>
              <w:left w:val="nil"/>
              <w:bottom w:val="nil"/>
              <w:right w:val="nil"/>
            </w:tcBorders>
            <w:shd w:val="clear" w:color="auto" w:fill="auto"/>
            <w:noWrap/>
            <w:vAlign w:val="bottom"/>
            <w:hideMark/>
          </w:tcPr>
          <w:p w14:paraId="72AF3831"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Share</w:t>
            </w:r>
          </w:p>
        </w:tc>
        <w:tc>
          <w:tcPr>
            <w:tcW w:w="236" w:type="dxa"/>
            <w:tcBorders>
              <w:top w:val="nil"/>
              <w:left w:val="nil"/>
              <w:bottom w:val="nil"/>
              <w:right w:val="nil"/>
            </w:tcBorders>
            <w:shd w:val="clear" w:color="auto" w:fill="auto"/>
            <w:noWrap/>
            <w:vAlign w:val="bottom"/>
            <w:hideMark/>
          </w:tcPr>
          <w:p w14:paraId="470B9747" w14:textId="77777777" w:rsidR="002B350E" w:rsidRDefault="002B350E">
            <w:pPr>
              <w:jc w:val="right"/>
              <w:rPr>
                <w:rFonts w:ascii="Calibri Light" w:hAnsi="Calibri Light" w:cs="Arial"/>
                <w:b/>
                <w:bCs/>
                <w:sz w:val="22"/>
                <w:szCs w:val="22"/>
              </w:rPr>
            </w:pPr>
          </w:p>
        </w:tc>
        <w:tc>
          <w:tcPr>
            <w:tcW w:w="1229" w:type="dxa"/>
            <w:tcBorders>
              <w:top w:val="nil"/>
              <w:left w:val="nil"/>
              <w:bottom w:val="nil"/>
              <w:right w:val="nil"/>
            </w:tcBorders>
            <w:shd w:val="clear" w:color="auto" w:fill="auto"/>
            <w:noWrap/>
            <w:vAlign w:val="bottom"/>
            <w:hideMark/>
          </w:tcPr>
          <w:p w14:paraId="22B752CA"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Share</w:t>
            </w:r>
          </w:p>
        </w:tc>
        <w:tc>
          <w:tcPr>
            <w:tcW w:w="236" w:type="dxa"/>
            <w:tcBorders>
              <w:top w:val="nil"/>
              <w:left w:val="nil"/>
              <w:bottom w:val="nil"/>
              <w:right w:val="nil"/>
            </w:tcBorders>
            <w:shd w:val="clear" w:color="auto" w:fill="auto"/>
            <w:noWrap/>
            <w:vAlign w:val="bottom"/>
            <w:hideMark/>
          </w:tcPr>
          <w:p w14:paraId="6DEFDA9C" w14:textId="77777777" w:rsidR="002B350E" w:rsidRDefault="002B350E">
            <w:pPr>
              <w:jc w:val="right"/>
              <w:rPr>
                <w:rFonts w:ascii="Calibri Light" w:hAnsi="Calibri Light" w:cs="Arial"/>
                <w:b/>
                <w:bCs/>
                <w:sz w:val="22"/>
                <w:szCs w:val="22"/>
              </w:rPr>
            </w:pPr>
          </w:p>
        </w:tc>
        <w:tc>
          <w:tcPr>
            <w:tcW w:w="1349" w:type="dxa"/>
            <w:tcBorders>
              <w:top w:val="nil"/>
              <w:left w:val="nil"/>
              <w:bottom w:val="nil"/>
              <w:right w:val="nil"/>
            </w:tcBorders>
            <w:shd w:val="clear" w:color="auto" w:fill="auto"/>
            <w:noWrap/>
            <w:vAlign w:val="bottom"/>
            <w:hideMark/>
          </w:tcPr>
          <w:p w14:paraId="25A27A99"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Retained</w:t>
            </w:r>
          </w:p>
        </w:tc>
        <w:tc>
          <w:tcPr>
            <w:tcW w:w="236" w:type="dxa"/>
            <w:tcBorders>
              <w:top w:val="nil"/>
              <w:left w:val="nil"/>
              <w:bottom w:val="nil"/>
              <w:right w:val="nil"/>
            </w:tcBorders>
            <w:shd w:val="clear" w:color="auto" w:fill="auto"/>
            <w:noWrap/>
            <w:vAlign w:val="bottom"/>
            <w:hideMark/>
          </w:tcPr>
          <w:p w14:paraId="65461705" w14:textId="77777777" w:rsidR="002B350E" w:rsidRDefault="002B350E">
            <w:pPr>
              <w:jc w:val="right"/>
              <w:rPr>
                <w:rFonts w:ascii="Calibri Light" w:hAnsi="Calibri Light" w:cs="Arial"/>
                <w:b/>
                <w:bCs/>
                <w:sz w:val="22"/>
                <w:szCs w:val="22"/>
              </w:rPr>
            </w:pPr>
          </w:p>
        </w:tc>
        <w:tc>
          <w:tcPr>
            <w:tcW w:w="1293" w:type="dxa"/>
            <w:tcBorders>
              <w:top w:val="nil"/>
              <w:left w:val="nil"/>
              <w:bottom w:val="nil"/>
              <w:right w:val="nil"/>
            </w:tcBorders>
            <w:shd w:val="clear" w:color="auto" w:fill="auto"/>
            <w:noWrap/>
            <w:vAlign w:val="bottom"/>
            <w:hideMark/>
          </w:tcPr>
          <w:p w14:paraId="4CEE1A0B"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redemption</w:t>
            </w:r>
          </w:p>
        </w:tc>
        <w:tc>
          <w:tcPr>
            <w:tcW w:w="236" w:type="dxa"/>
            <w:tcBorders>
              <w:top w:val="nil"/>
              <w:left w:val="nil"/>
              <w:bottom w:val="nil"/>
              <w:right w:val="nil"/>
            </w:tcBorders>
            <w:shd w:val="clear" w:color="auto" w:fill="auto"/>
            <w:noWrap/>
            <w:vAlign w:val="bottom"/>
            <w:hideMark/>
          </w:tcPr>
          <w:p w14:paraId="656A022B" w14:textId="77777777" w:rsidR="002B350E" w:rsidRDefault="002B350E">
            <w:pPr>
              <w:jc w:val="right"/>
              <w:rPr>
                <w:rFonts w:ascii="Calibri Light" w:hAnsi="Calibri Light" w:cs="Arial"/>
                <w:b/>
                <w:bCs/>
                <w:sz w:val="22"/>
                <w:szCs w:val="22"/>
              </w:rPr>
            </w:pPr>
          </w:p>
        </w:tc>
        <w:tc>
          <w:tcPr>
            <w:tcW w:w="1124" w:type="dxa"/>
            <w:tcBorders>
              <w:top w:val="nil"/>
              <w:left w:val="nil"/>
              <w:bottom w:val="nil"/>
              <w:right w:val="nil"/>
            </w:tcBorders>
            <w:shd w:val="clear" w:color="auto" w:fill="auto"/>
            <w:noWrap/>
            <w:vAlign w:val="bottom"/>
            <w:hideMark/>
          </w:tcPr>
          <w:p w14:paraId="2EE21439"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 xml:space="preserve">Merger </w:t>
            </w:r>
          </w:p>
        </w:tc>
        <w:tc>
          <w:tcPr>
            <w:tcW w:w="236" w:type="dxa"/>
            <w:tcBorders>
              <w:top w:val="nil"/>
              <w:left w:val="nil"/>
              <w:bottom w:val="nil"/>
              <w:right w:val="nil"/>
            </w:tcBorders>
            <w:shd w:val="clear" w:color="auto" w:fill="auto"/>
            <w:noWrap/>
            <w:vAlign w:val="bottom"/>
            <w:hideMark/>
          </w:tcPr>
          <w:p w14:paraId="322E9810" w14:textId="77777777" w:rsidR="002B350E" w:rsidRDefault="002B350E">
            <w:pPr>
              <w:jc w:val="right"/>
              <w:rPr>
                <w:rFonts w:ascii="Calibri Light" w:hAnsi="Calibri Light" w:cs="Arial"/>
                <w:b/>
                <w:bCs/>
                <w:sz w:val="22"/>
                <w:szCs w:val="22"/>
              </w:rPr>
            </w:pPr>
          </w:p>
        </w:tc>
        <w:tc>
          <w:tcPr>
            <w:tcW w:w="1236" w:type="dxa"/>
            <w:tcBorders>
              <w:top w:val="nil"/>
              <w:left w:val="nil"/>
              <w:bottom w:val="nil"/>
              <w:right w:val="nil"/>
            </w:tcBorders>
            <w:shd w:val="clear" w:color="auto" w:fill="auto"/>
            <w:noWrap/>
            <w:vAlign w:val="bottom"/>
            <w:hideMark/>
          </w:tcPr>
          <w:p w14:paraId="408C70FC"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Fair value</w:t>
            </w:r>
          </w:p>
        </w:tc>
        <w:tc>
          <w:tcPr>
            <w:tcW w:w="236" w:type="dxa"/>
            <w:tcBorders>
              <w:top w:val="nil"/>
              <w:left w:val="nil"/>
              <w:bottom w:val="nil"/>
              <w:right w:val="nil"/>
            </w:tcBorders>
            <w:shd w:val="clear" w:color="auto" w:fill="auto"/>
            <w:noWrap/>
            <w:vAlign w:val="bottom"/>
            <w:hideMark/>
          </w:tcPr>
          <w:p w14:paraId="66D73ED9" w14:textId="77777777" w:rsidR="002B350E" w:rsidRDefault="002B350E">
            <w:pPr>
              <w:jc w:val="right"/>
              <w:rPr>
                <w:rFonts w:ascii="Calibri Light" w:hAnsi="Calibri Light" w:cs="Arial"/>
                <w:b/>
                <w:bCs/>
                <w:sz w:val="22"/>
                <w:szCs w:val="22"/>
              </w:rPr>
            </w:pPr>
          </w:p>
        </w:tc>
        <w:tc>
          <w:tcPr>
            <w:tcW w:w="1404" w:type="dxa"/>
            <w:tcBorders>
              <w:top w:val="nil"/>
              <w:left w:val="nil"/>
              <w:bottom w:val="nil"/>
              <w:right w:val="nil"/>
            </w:tcBorders>
            <w:shd w:val="clear" w:color="auto" w:fill="auto"/>
            <w:noWrap/>
            <w:vAlign w:val="bottom"/>
            <w:hideMark/>
          </w:tcPr>
          <w:p w14:paraId="6A92F9B9" w14:textId="77777777" w:rsidR="002B350E" w:rsidRDefault="002B350E">
            <w:pPr>
              <w:rPr>
                <w:sz w:val="20"/>
                <w:szCs w:val="20"/>
              </w:rPr>
            </w:pPr>
          </w:p>
        </w:tc>
      </w:tr>
      <w:tr w:rsidR="00263AF8" w14:paraId="770CDA0D" w14:textId="77777777" w:rsidTr="00C37A27">
        <w:trPr>
          <w:trHeight w:val="283"/>
        </w:trPr>
        <w:tc>
          <w:tcPr>
            <w:tcW w:w="3481" w:type="dxa"/>
            <w:tcBorders>
              <w:top w:val="nil"/>
              <w:left w:val="nil"/>
              <w:bottom w:val="nil"/>
              <w:right w:val="nil"/>
            </w:tcBorders>
            <w:shd w:val="clear" w:color="auto" w:fill="auto"/>
            <w:noWrap/>
            <w:vAlign w:val="bottom"/>
            <w:hideMark/>
          </w:tcPr>
          <w:p w14:paraId="799B4F32"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563A1BF0" w14:textId="77777777" w:rsidR="002B350E" w:rsidRDefault="002B350E">
            <w:pPr>
              <w:rPr>
                <w:sz w:val="20"/>
                <w:szCs w:val="20"/>
              </w:rPr>
            </w:pPr>
          </w:p>
        </w:tc>
        <w:tc>
          <w:tcPr>
            <w:tcW w:w="1304" w:type="dxa"/>
            <w:tcBorders>
              <w:top w:val="nil"/>
              <w:left w:val="nil"/>
              <w:bottom w:val="nil"/>
              <w:right w:val="nil"/>
            </w:tcBorders>
            <w:shd w:val="clear" w:color="auto" w:fill="auto"/>
            <w:noWrap/>
            <w:vAlign w:val="bottom"/>
            <w:hideMark/>
          </w:tcPr>
          <w:p w14:paraId="0E4E99E3"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capital</w:t>
            </w:r>
          </w:p>
        </w:tc>
        <w:tc>
          <w:tcPr>
            <w:tcW w:w="236" w:type="dxa"/>
            <w:tcBorders>
              <w:top w:val="nil"/>
              <w:left w:val="nil"/>
              <w:bottom w:val="nil"/>
              <w:right w:val="nil"/>
            </w:tcBorders>
            <w:shd w:val="clear" w:color="auto" w:fill="auto"/>
            <w:noWrap/>
            <w:vAlign w:val="bottom"/>
            <w:hideMark/>
          </w:tcPr>
          <w:p w14:paraId="787248D1" w14:textId="77777777" w:rsidR="002B350E" w:rsidRDefault="002B350E">
            <w:pPr>
              <w:jc w:val="right"/>
              <w:rPr>
                <w:rFonts w:ascii="Calibri Light" w:hAnsi="Calibri Light" w:cs="Arial"/>
                <w:b/>
                <w:bCs/>
                <w:sz w:val="22"/>
                <w:szCs w:val="22"/>
              </w:rPr>
            </w:pPr>
          </w:p>
        </w:tc>
        <w:tc>
          <w:tcPr>
            <w:tcW w:w="1229" w:type="dxa"/>
            <w:tcBorders>
              <w:top w:val="nil"/>
              <w:left w:val="nil"/>
              <w:bottom w:val="nil"/>
              <w:right w:val="nil"/>
            </w:tcBorders>
            <w:shd w:val="clear" w:color="auto" w:fill="auto"/>
            <w:noWrap/>
            <w:vAlign w:val="bottom"/>
            <w:hideMark/>
          </w:tcPr>
          <w:p w14:paraId="53607256"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premium</w:t>
            </w:r>
          </w:p>
        </w:tc>
        <w:tc>
          <w:tcPr>
            <w:tcW w:w="236" w:type="dxa"/>
            <w:tcBorders>
              <w:top w:val="nil"/>
              <w:left w:val="nil"/>
              <w:bottom w:val="nil"/>
              <w:right w:val="nil"/>
            </w:tcBorders>
            <w:shd w:val="clear" w:color="auto" w:fill="auto"/>
            <w:noWrap/>
            <w:vAlign w:val="bottom"/>
            <w:hideMark/>
          </w:tcPr>
          <w:p w14:paraId="360F2330" w14:textId="77777777" w:rsidR="002B350E" w:rsidRDefault="002B350E">
            <w:pPr>
              <w:jc w:val="right"/>
              <w:rPr>
                <w:rFonts w:ascii="Calibri Light" w:hAnsi="Calibri Light" w:cs="Arial"/>
                <w:b/>
                <w:bCs/>
                <w:sz w:val="22"/>
                <w:szCs w:val="22"/>
              </w:rPr>
            </w:pPr>
          </w:p>
        </w:tc>
        <w:tc>
          <w:tcPr>
            <w:tcW w:w="1349" w:type="dxa"/>
            <w:tcBorders>
              <w:top w:val="nil"/>
              <w:left w:val="nil"/>
              <w:bottom w:val="nil"/>
              <w:right w:val="nil"/>
            </w:tcBorders>
            <w:shd w:val="clear" w:color="auto" w:fill="auto"/>
            <w:noWrap/>
            <w:vAlign w:val="bottom"/>
            <w:hideMark/>
          </w:tcPr>
          <w:p w14:paraId="7DC5A906"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earnings</w:t>
            </w:r>
          </w:p>
        </w:tc>
        <w:tc>
          <w:tcPr>
            <w:tcW w:w="236" w:type="dxa"/>
            <w:tcBorders>
              <w:top w:val="nil"/>
              <w:left w:val="nil"/>
              <w:bottom w:val="nil"/>
              <w:right w:val="nil"/>
            </w:tcBorders>
            <w:shd w:val="clear" w:color="auto" w:fill="auto"/>
            <w:noWrap/>
            <w:vAlign w:val="bottom"/>
            <w:hideMark/>
          </w:tcPr>
          <w:p w14:paraId="22F23B0D" w14:textId="77777777" w:rsidR="002B350E" w:rsidRDefault="002B350E">
            <w:pPr>
              <w:jc w:val="right"/>
              <w:rPr>
                <w:rFonts w:ascii="Calibri Light" w:hAnsi="Calibri Light" w:cs="Arial"/>
                <w:b/>
                <w:bCs/>
                <w:sz w:val="22"/>
                <w:szCs w:val="22"/>
              </w:rPr>
            </w:pPr>
          </w:p>
        </w:tc>
        <w:tc>
          <w:tcPr>
            <w:tcW w:w="1293" w:type="dxa"/>
            <w:tcBorders>
              <w:top w:val="nil"/>
              <w:left w:val="nil"/>
              <w:bottom w:val="nil"/>
              <w:right w:val="nil"/>
            </w:tcBorders>
            <w:shd w:val="clear" w:color="auto" w:fill="auto"/>
            <w:noWrap/>
            <w:vAlign w:val="bottom"/>
            <w:hideMark/>
          </w:tcPr>
          <w:p w14:paraId="41D01C8B"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reserve</w:t>
            </w:r>
          </w:p>
        </w:tc>
        <w:tc>
          <w:tcPr>
            <w:tcW w:w="236" w:type="dxa"/>
            <w:tcBorders>
              <w:top w:val="nil"/>
              <w:left w:val="nil"/>
              <w:bottom w:val="nil"/>
              <w:right w:val="nil"/>
            </w:tcBorders>
            <w:shd w:val="clear" w:color="auto" w:fill="auto"/>
            <w:noWrap/>
            <w:vAlign w:val="bottom"/>
            <w:hideMark/>
          </w:tcPr>
          <w:p w14:paraId="67E3CA86" w14:textId="77777777" w:rsidR="002B350E" w:rsidRDefault="002B350E">
            <w:pPr>
              <w:jc w:val="right"/>
              <w:rPr>
                <w:rFonts w:ascii="Calibri Light" w:hAnsi="Calibri Light" w:cs="Arial"/>
                <w:b/>
                <w:bCs/>
                <w:sz w:val="22"/>
                <w:szCs w:val="22"/>
              </w:rPr>
            </w:pPr>
          </w:p>
        </w:tc>
        <w:tc>
          <w:tcPr>
            <w:tcW w:w="1124" w:type="dxa"/>
            <w:tcBorders>
              <w:top w:val="nil"/>
              <w:left w:val="nil"/>
              <w:bottom w:val="nil"/>
              <w:right w:val="nil"/>
            </w:tcBorders>
            <w:shd w:val="clear" w:color="auto" w:fill="auto"/>
            <w:noWrap/>
            <w:vAlign w:val="bottom"/>
            <w:hideMark/>
          </w:tcPr>
          <w:p w14:paraId="28DD6234"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reserve</w:t>
            </w:r>
          </w:p>
        </w:tc>
        <w:tc>
          <w:tcPr>
            <w:tcW w:w="236" w:type="dxa"/>
            <w:tcBorders>
              <w:top w:val="nil"/>
              <w:left w:val="nil"/>
              <w:bottom w:val="nil"/>
              <w:right w:val="nil"/>
            </w:tcBorders>
            <w:shd w:val="clear" w:color="auto" w:fill="auto"/>
            <w:noWrap/>
            <w:vAlign w:val="bottom"/>
            <w:hideMark/>
          </w:tcPr>
          <w:p w14:paraId="500D3177" w14:textId="77777777" w:rsidR="002B350E" w:rsidRDefault="002B350E">
            <w:pPr>
              <w:jc w:val="right"/>
              <w:rPr>
                <w:rFonts w:ascii="Calibri Light" w:hAnsi="Calibri Light" w:cs="Arial"/>
                <w:b/>
                <w:bCs/>
                <w:sz w:val="22"/>
                <w:szCs w:val="22"/>
              </w:rPr>
            </w:pPr>
          </w:p>
        </w:tc>
        <w:tc>
          <w:tcPr>
            <w:tcW w:w="1236" w:type="dxa"/>
            <w:tcBorders>
              <w:top w:val="nil"/>
              <w:left w:val="nil"/>
              <w:bottom w:val="nil"/>
              <w:right w:val="nil"/>
            </w:tcBorders>
            <w:shd w:val="clear" w:color="auto" w:fill="auto"/>
            <w:noWrap/>
            <w:vAlign w:val="bottom"/>
            <w:hideMark/>
          </w:tcPr>
          <w:p w14:paraId="252F9480"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reserve</w:t>
            </w:r>
          </w:p>
        </w:tc>
        <w:tc>
          <w:tcPr>
            <w:tcW w:w="236" w:type="dxa"/>
            <w:tcBorders>
              <w:top w:val="nil"/>
              <w:left w:val="nil"/>
              <w:bottom w:val="nil"/>
              <w:right w:val="nil"/>
            </w:tcBorders>
            <w:shd w:val="clear" w:color="auto" w:fill="auto"/>
            <w:noWrap/>
            <w:vAlign w:val="bottom"/>
            <w:hideMark/>
          </w:tcPr>
          <w:p w14:paraId="2D60A60D" w14:textId="77777777" w:rsidR="002B350E" w:rsidRDefault="002B350E">
            <w:pPr>
              <w:jc w:val="right"/>
              <w:rPr>
                <w:rFonts w:ascii="Calibri Light" w:hAnsi="Calibri Light" w:cs="Arial"/>
                <w:b/>
                <w:bCs/>
                <w:sz w:val="22"/>
                <w:szCs w:val="22"/>
              </w:rPr>
            </w:pPr>
          </w:p>
        </w:tc>
        <w:tc>
          <w:tcPr>
            <w:tcW w:w="1404" w:type="dxa"/>
            <w:tcBorders>
              <w:top w:val="nil"/>
              <w:left w:val="nil"/>
              <w:bottom w:val="nil"/>
              <w:right w:val="nil"/>
            </w:tcBorders>
            <w:shd w:val="clear" w:color="auto" w:fill="auto"/>
            <w:noWrap/>
            <w:vAlign w:val="bottom"/>
            <w:hideMark/>
          </w:tcPr>
          <w:p w14:paraId="6FCF195C" w14:textId="77777777" w:rsidR="002B350E" w:rsidRDefault="002B350E">
            <w:pPr>
              <w:jc w:val="right"/>
              <w:rPr>
                <w:rFonts w:ascii="Calibri Light" w:hAnsi="Calibri Light" w:cs="Arial"/>
                <w:b/>
                <w:bCs/>
                <w:sz w:val="22"/>
                <w:szCs w:val="22"/>
              </w:rPr>
            </w:pPr>
            <w:r>
              <w:rPr>
                <w:rFonts w:ascii="Calibri Light" w:hAnsi="Calibri Light" w:cs="Arial"/>
                <w:b/>
                <w:bCs/>
                <w:sz w:val="22"/>
                <w:szCs w:val="22"/>
              </w:rPr>
              <w:t xml:space="preserve"> Total </w:t>
            </w:r>
          </w:p>
        </w:tc>
      </w:tr>
      <w:tr w:rsidR="00263AF8" w14:paraId="01C5AFD0" w14:textId="77777777" w:rsidTr="00C37A27">
        <w:trPr>
          <w:trHeight w:val="283"/>
        </w:trPr>
        <w:tc>
          <w:tcPr>
            <w:tcW w:w="3481" w:type="dxa"/>
            <w:tcBorders>
              <w:top w:val="nil"/>
              <w:left w:val="nil"/>
              <w:bottom w:val="nil"/>
              <w:right w:val="nil"/>
            </w:tcBorders>
            <w:shd w:val="clear" w:color="auto" w:fill="auto"/>
            <w:noWrap/>
            <w:vAlign w:val="bottom"/>
            <w:hideMark/>
          </w:tcPr>
          <w:p w14:paraId="431619D6" w14:textId="77777777" w:rsidR="002B350E" w:rsidRDefault="002B350E">
            <w:pPr>
              <w:jc w:val="right"/>
              <w:rPr>
                <w:rFonts w:ascii="Calibri Light" w:hAnsi="Calibri Light" w:cs="Arial"/>
                <w:b/>
                <w:bCs/>
                <w:sz w:val="22"/>
                <w:szCs w:val="22"/>
              </w:rPr>
            </w:pPr>
          </w:p>
        </w:tc>
        <w:tc>
          <w:tcPr>
            <w:tcW w:w="236" w:type="dxa"/>
            <w:tcBorders>
              <w:top w:val="nil"/>
              <w:left w:val="nil"/>
              <w:bottom w:val="nil"/>
              <w:right w:val="nil"/>
            </w:tcBorders>
            <w:shd w:val="clear" w:color="auto" w:fill="auto"/>
            <w:noWrap/>
            <w:vAlign w:val="bottom"/>
            <w:hideMark/>
          </w:tcPr>
          <w:p w14:paraId="41E9FCFC" w14:textId="77777777" w:rsidR="002B350E" w:rsidRDefault="002B350E">
            <w:pPr>
              <w:rPr>
                <w:sz w:val="20"/>
                <w:szCs w:val="20"/>
              </w:rPr>
            </w:pPr>
          </w:p>
        </w:tc>
        <w:tc>
          <w:tcPr>
            <w:tcW w:w="1304" w:type="dxa"/>
            <w:tcBorders>
              <w:top w:val="nil"/>
              <w:left w:val="nil"/>
              <w:bottom w:val="nil"/>
              <w:right w:val="nil"/>
            </w:tcBorders>
            <w:shd w:val="clear" w:color="auto" w:fill="auto"/>
            <w:noWrap/>
            <w:vAlign w:val="bottom"/>
            <w:hideMark/>
          </w:tcPr>
          <w:p w14:paraId="489B2C02"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03F4281D" w14:textId="77777777" w:rsidR="002B350E" w:rsidRDefault="002B350E">
            <w:pPr>
              <w:jc w:val="center"/>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48B39CC7"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2D9259A2" w14:textId="77777777" w:rsidR="002B350E" w:rsidRDefault="002B350E">
            <w:pPr>
              <w:jc w:val="center"/>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62855F6F"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31AB1F62" w14:textId="77777777" w:rsidR="002B350E" w:rsidRDefault="002B350E">
            <w:pPr>
              <w:jc w:val="center"/>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0CDFC853"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0014C3D7" w14:textId="77777777" w:rsidR="002B350E" w:rsidRDefault="002B350E">
            <w:pPr>
              <w:jc w:val="center"/>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37A9BE9C"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060246A9" w14:textId="77777777" w:rsidR="002B350E" w:rsidRDefault="002B350E">
            <w:pPr>
              <w:jc w:val="center"/>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205D764C"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c>
          <w:tcPr>
            <w:tcW w:w="236" w:type="dxa"/>
            <w:tcBorders>
              <w:top w:val="nil"/>
              <w:left w:val="nil"/>
              <w:bottom w:val="nil"/>
              <w:right w:val="nil"/>
            </w:tcBorders>
            <w:shd w:val="clear" w:color="auto" w:fill="auto"/>
            <w:noWrap/>
            <w:vAlign w:val="bottom"/>
            <w:hideMark/>
          </w:tcPr>
          <w:p w14:paraId="3C8FFE3A" w14:textId="77777777" w:rsidR="002B350E" w:rsidRDefault="002B350E">
            <w:pPr>
              <w:jc w:val="center"/>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7B18CEE2" w14:textId="77777777" w:rsidR="002B350E" w:rsidRDefault="002B350E">
            <w:pPr>
              <w:jc w:val="center"/>
              <w:rPr>
                <w:rFonts w:ascii="Calibri Light" w:hAnsi="Calibri Light" w:cs="Arial"/>
                <w:sz w:val="22"/>
                <w:szCs w:val="22"/>
              </w:rPr>
            </w:pPr>
            <w:r>
              <w:rPr>
                <w:rFonts w:ascii="Calibri Light" w:hAnsi="Calibri Light" w:cs="Arial"/>
                <w:sz w:val="22"/>
                <w:szCs w:val="22"/>
              </w:rPr>
              <w:t>£</w:t>
            </w:r>
          </w:p>
        </w:tc>
      </w:tr>
      <w:tr w:rsidR="00263AF8" w14:paraId="19B0E68A" w14:textId="77777777" w:rsidTr="00C37A27">
        <w:trPr>
          <w:trHeight w:val="283"/>
        </w:trPr>
        <w:tc>
          <w:tcPr>
            <w:tcW w:w="3481" w:type="dxa"/>
            <w:tcBorders>
              <w:top w:val="nil"/>
              <w:left w:val="nil"/>
              <w:bottom w:val="nil"/>
              <w:right w:val="nil"/>
            </w:tcBorders>
            <w:shd w:val="clear" w:color="auto" w:fill="auto"/>
            <w:noWrap/>
            <w:vAlign w:val="bottom"/>
            <w:hideMark/>
          </w:tcPr>
          <w:p w14:paraId="17F66DD8" w14:textId="77777777" w:rsidR="002B350E" w:rsidRDefault="002B350E">
            <w:pPr>
              <w:rPr>
                <w:rFonts w:ascii="Calibri Light" w:hAnsi="Calibri Light" w:cs="Arial"/>
                <w:i/>
                <w:iCs/>
                <w:sz w:val="22"/>
                <w:szCs w:val="22"/>
              </w:rPr>
            </w:pPr>
            <w:r>
              <w:rPr>
                <w:rFonts w:ascii="Calibri Light" w:hAnsi="Calibri Light" w:cs="Arial"/>
                <w:i/>
                <w:iCs/>
                <w:sz w:val="22"/>
                <w:szCs w:val="22"/>
              </w:rPr>
              <w:t>Unaudited</w:t>
            </w:r>
          </w:p>
        </w:tc>
        <w:tc>
          <w:tcPr>
            <w:tcW w:w="236" w:type="dxa"/>
            <w:tcBorders>
              <w:top w:val="nil"/>
              <w:left w:val="nil"/>
              <w:bottom w:val="nil"/>
              <w:right w:val="nil"/>
            </w:tcBorders>
            <w:shd w:val="clear" w:color="auto" w:fill="auto"/>
            <w:noWrap/>
            <w:vAlign w:val="bottom"/>
            <w:hideMark/>
          </w:tcPr>
          <w:p w14:paraId="63E0C28C" w14:textId="77777777" w:rsidR="002B350E" w:rsidRDefault="002B350E">
            <w:pPr>
              <w:rPr>
                <w:rFonts w:ascii="Calibri Light" w:hAnsi="Calibri Light" w:cs="Arial"/>
                <w:i/>
                <w:iCs/>
                <w:sz w:val="22"/>
                <w:szCs w:val="22"/>
              </w:rPr>
            </w:pPr>
          </w:p>
        </w:tc>
        <w:tc>
          <w:tcPr>
            <w:tcW w:w="1304" w:type="dxa"/>
            <w:tcBorders>
              <w:top w:val="nil"/>
              <w:left w:val="nil"/>
              <w:bottom w:val="nil"/>
              <w:right w:val="nil"/>
            </w:tcBorders>
            <w:shd w:val="clear" w:color="auto" w:fill="auto"/>
            <w:noWrap/>
            <w:vAlign w:val="bottom"/>
            <w:hideMark/>
          </w:tcPr>
          <w:p w14:paraId="409465DA"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181432BE" w14:textId="77777777" w:rsidR="002B350E" w:rsidRDefault="002B350E">
            <w:pPr>
              <w:rPr>
                <w:sz w:val="20"/>
                <w:szCs w:val="20"/>
              </w:rPr>
            </w:pPr>
          </w:p>
        </w:tc>
        <w:tc>
          <w:tcPr>
            <w:tcW w:w="1229" w:type="dxa"/>
            <w:tcBorders>
              <w:top w:val="nil"/>
              <w:left w:val="nil"/>
              <w:bottom w:val="nil"/>
              <w:right w:val="nil"/>
            </w:tcBorders>
            <w:shd w:val="clear" w:color="auto" w:fill="auto"/>
            <w:noWrap/>
            <w:vAlign w:val="bottom"/>
            <w:hideMark/>
          </w:tcPr>
          <w:p w14:paraId="59EB4EA1"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33346BC1" w14:textId="77777777" w:rsidR="002B350E" w:rsidRDefault="002B350E">
            <w:pPr>
              <w:rPr>
                <w:sz w:val="20"/>
                <w:szCs w:val="20"/>
              </w:rPr>
            </w:pPr>
          </w:p>
        </w:tc>
        <w:tc>
          <w:tcPr>
            <w:tcW w:w="1349" w:type="dxa"/>
            <w:tcBorders>
              <w:top w:val="nil"/>
              <w:left w:val="nil"/>
              <w:bottom w:val="nil"/>
              <w:right w:val="nil"/>
            </w:tcBorders>
            <w:shd w:val="clear" w:color="auto" w:fill="auto"/>
            <w:noWrap/>
            <w:vAlign w:val="bottom"/>
            <w:hideMark/>
          </w:tcPr>
          <w:p w14:paraId="7D1688DA" w14:textId="77777777" w:rsidR="002B350E" w:rsidRDefault="002B350E">
            <w:pPr>
              <w:jc w:val="center"/>
              <w:rPr>
                <w:sz w:val="20"/>
                <w:szCs w:val="20"/>
              </w:rPr>
            </w:pPr>
          </w:p>
        </w:tc>
        <w:tc>
          <w:tcPr>
            <w:tcW w:w="236" w:type="dxa"/>
            <w:tcBorders>
              <w:top w:val="nil"/>
              <w:left w:val="nil"/>
              <w:bottom w:val="nil"/>
              <w:right w:val="nil"/>
            </w:tcBorders>
            <w:shd w:val="clear" w:color="auto" w:fill="auto"/>
            <w:noWrap/>
            <w:vAlign w:val="bottom"/>
            <w:hideMark/>
          </w:tcPr>
          <w:p w14:paraId="648D06CF" w14:textId="77777777" w:rsidR="002B350E" w:rsidRDefault="002B350E">
            <w:pPr>
              <w:jc w:val="center"/>
              <w:rPr>
                <w:sz w:val="20"/>
                <w:szCs w:val="20"/>
              </w:rPr>
            </w:pPr>
          </w:p>
        </w:tc>
        <w:tc>
          <w:tcPr>
            <w:tcW w:w="1293" w:type="dxa"/>
            <w:tcBorders>
              <w:top w:val="nil"/>
              <w:left w:val="nil"/>
              <w:bottom w:val="nil"/>
              <w:right w:val="nil"/>
            </w:tcBorders>
            <w:shd w:val="clear" w:color="auto" w:fill="auto"/>
            <w:noWrap/>
            <w:vAlign w:val="bottom"/>
            <w:hideMark/>
          </w:tcPr>
          <w:p w14:paraId="114B1788" w14:textId="77777777" w:rsidR="002B350E" w:rsidRDefault="002B350E">
            <w:pPr>
              <w:jc w:val="center"/>
              <w:rPr>
                <w:sz w:val="20"/>
                <w:szCs w:val="20"/>
              </w:rPr>
            </w:pPr>
          </w:p>
        </w:tc>
        <w:tc>
          <w:tcPr>
            <w:tcW w:w="236" w:type="dxa"/>
            <w:tcBorders>
              <w:top w:val="nil"/>
              <w:left w:val="nil"/>
              <w:bottom w:val="nil"/>
              <w:right w:val="nil"/>
            </w:tcBorders>
            <w:shd w:val="clear" w:color="auto" w:fill="auto"/>
            <w:noWrap/>
            <w:vAlign w:val="bottom"/>
            <w:hideMark/>
          </w:tcPr>
          <w:p w14:paraId="08D27834" w14:textId="77777777" w:rsidR="002B350E" w:rsidRDefault="002B350E">
            <w:pPr>
              <w:jc w:val="right"/>
              <w:rPr>
                <w:sz w:val="20"/>
                <w:szCs w:val="20"/>
              </w:rPr>
            </w:pPr>
          </w:p>
        </w:tc>
        <w:tc>
          <w:tcPr>
            <w:tcW w:w="1124" w:type="dxa"/>
            <w:tcBorders>
              <w:top w:val="nil"/>
              <w:left w:val="nil"/>
              <w:bottom w:val="nil"/>
              <w:right w:val="nil"/>
            </w:tcBorders>
            <w:shd w:val="clear" w:color="auto" w:fill="auto"/>
            <w:noWrap/>
            <w:vAlign w:val="bottom"/>
            <w:hideMark/>
          </w:tcPr>
          <w:p w14:paraId="0D5A146C" w14:textId="77777777" w:rsidR="002B350E" w:rsidRDefault="002B350E">
            <w:pPr>
              <w:jc w:val="right"/>
              <w:rPr>
                <w:sz w:val="20"/>
                <w:szCs w:val="20"/>
              </w:rPr>
            </w:pPr>
          </w:p>
        </w:tc>
        <w:tc>
          <w:tcPr>
            <w:tcW w:w="236" w:type="dxa"/>
            <w:tcBorders>
              <w:top w:val="nil"/>
              <w:left w:val="nil"/>
              <w:bottom w:val="nil"/>
              <w:right w:val="nil"/>
            </w:tcBorders>
            <w:shd w:val="clear" w:color="auto" w:fill="auto"/>
            <w:noWrap/>
            <w:vAlign w:val="bottom"/>
            <w:hideMark/>
          </w:tcPr>
          <w:p w14:paraId="53CE292F" w14:textId="77777777" w:rsidR="002B350E" w:rsidRDefault="002B350E">
            <w:pPr>
              <w:jc w:val="right"/>
              <w:rPr>
                <w:sz w:val="20"/>
                <w:szCs w:val="20"/>
              </w:rPr>
            </w:pPr>
          </w:p>
        </w:tc>
        <w:tc>
          <w:tcPr>
            <w:tcW w:w="1236" w:type="dxa"/>
            <w:tcBorders>
              <w:top w:val="nil"/>
              <w:left w:val="nil"/>
              <w:bottom w:val="nil"/>
              <w:right w:val="nil"/>
            </w:tcBorders>
            <w:shd w:val="clear" w:color="auto" w:fill="auto"/>
            <w:noWrap/>
            <w:vAlign w:val="bottom"/>
            <w:hideMark/>
          </w:tcPr>
          <w:p w14:paraId="270EC186" w14:textId="77777777" w:rsidR="002B350E" w:rsidRDefault="002B350E">
            <w:pPr>
              <w:jc w:val="right"/>
              <w:rPr>
                <w:sz w:val="20"/>
                <w:szCs w:val="20"/>
              </w:rPr>
            </w:pPr>
          </w:p>
        </w:tc>
        <w:tc>
          <w:tcPr>
            <w:tcW w:w="236" w:type="dxa"/>
            <w:tcBorders>
              <w:top w:val="nil"/>
              <w:left w:val="nil"/>
              <w:bottom w:val="nil"/>
              <w:right w:val="nil"/>
            </w:tcBorders>
            <w:shd w:val="clear" w:color="auto" w:fill="auto"/>
            <w:noWrap/>
            <w:vAlign w:val="bottom"/>
            <w:hideMark/>
          </w:tcPr>
          <w:p w14:paraId="7C22F629" w14:textId="77777777" w:rsidR="002B350E" w:rsidRDefault="002B350E">
            <w:pPr>
              <w:jc w:val="right"/>
              <w:rPr>
                <w:sz w:val="20"/>
                <w:szCs w:val="20"/>
              </w:rPr>
            </w:pPr>
          </w:p>
        </w:tc>
        <w:tc>
          <w:tcPr>
            <w:tcW w:w="1404" w:type="dxa"/>
            <w:tcBorders>
              <w:top w:val="nil"/>
              <w:left w:val="nil"/>
              <w:bottom w:val="nil"/>
              <w:right w:val="nil"/>
            </w:tcBorders>
            <w:shd w:val="clear" w:color="auto" w:fill="auto"/>
            <w:noWrap/>
            <w:vAlign w:val="bottom"/>
            <w:hideMark/>
          </w:tcPr>
          <w:p w14:paraId="644A83D8" w14:textId="77777777" w:rsidR="002B350E" w:rsidRDefault="002B350E">
            <w:pPr>
              <w:jc w:val="right"/>
              <w:rPr>
                <w:sz w:val="20"/>
                <w:szCs w:val="20"/>
              </w:rPr>
            </w:pPr>
          </w:p>
        </w:tc>
      </w:tr>
      <w:tr w:rsidR="00263AF8" w14:paraId="3C82FE16" w14:textId="77777777" w:rsidTr="00C37A27">
        <w:trPr>
          <w:trHeight w:val="283"/>
        </w:trPr>
        <w:tc>
          <w:tcPr>
            <w:tcW w:w="3481" w:type="dxa"/>
            <w:tcBorders>
              <w:top w:val="nil"/>
              <w:left w:val="nil"/>
              <w:bottom w:val="nil"/>
              <w:right w:val="nil"/>
            </w:tcBorders>
            <w:shd w:val="clear" w:color="auto" w:fill="auto"/>
            <w:noWrap/>
            <w:vAlign w:val="bottom"/>
            <w:hideMark/>
          </w:tcPr>
          <w:p w14:paraId="3288F348" w14:textId="77777777" w:rsidR="002B350E" w:rsidRDefault="002B350E">
            <w:pPr>
              <w:rPr>
                <w:rFonts w:ascii="Calibri Light" w:hAnsi="Calibri Light" w:cs="Arial"/>
                <w:sz w:val="22"/>
                <w:szCs w:val="22"/>
              </w:rPr>
            </w:pPr>
            <w:r>
              <w:rPr>
                <w:rFonts w:ascii="Calibri Light" w:hAnsi="Calibri Light" w:cs="Arial"/>
                <w:sz w:val="22"/>
                <w:szCs w:val="22"/>
              </w:rPr>
              <w:t>At 1 January 2022</w:t>
            </w:r>
          </w:p>
        </w:tc>
        <w:tc>
          <w:tcPr>
            <w:tcW w:w="236" w:type="dxa"/>
            <w:tcBorders>
              <w:top w:val="nil"/>
              <w:left w:val="nil"/>
              <w:bottom w:val="nil"/>
              <w:right w:val="nil"/>
            </w:tcBorders>
            <w:shd w:val="clear" w:color="auto" w:fill="auto"/>
            <w:noWrap/>
            <w:vAlign w:val="bottom"/>
            <w:hideMark/>
          </w:tcPr>
          <w:p w14:paraId="4AE9DF02"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091D1F01" w14:textId="7E9FA7C9"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7,124,355 </w:t>
            </w:r>
          </w:p>
        </w:tc>
        <w:tc>
          <w:tcPr>
            <w:tcW w:w="236" w:type="dxa"/>
            <w:tcBorders>
              <w:top w:val="nil"/>
              <w:left w:val="nil"/>
              <w:bottom w:val="nil"/>
              <w:right w:val="nil"/>
            </w:tcBorders>
            <w:shd w:val="clear" w:color="auto" w:fill="auto"/>
            <w:noWrap/>
            <w:vAlign w:val="bottom"/>
            <w:hideMark/>
          </w:tcPr>
          <w:p w14:paraId="3D3B2395" w14:textId="77777777" w:rsidR="002B350E" w:rsidRDefault="002B350E" w:rsidP="005032B6">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20D0EA24" w14:textId="0C2A5A99"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11,599,333 </w:t>
            </w:r>
          </w:p>
        </w:tc>
        <w:tc>
          <w:tcPr>
            <w:tcW w:w="236" w:type="dxa"/>
            <w:tcBorders>
              <w:top w:val="nil"/>
              <w:left w:val="nil"/>
              <w:bottom w:val="nil"/>
              <w:right w:val="nil"/>
            </w:tcBorders>
            <w:shd w:val="clear" w:color="auto" w:fill="auto"/>
            <w:noWrap/>
            <w:vAlign w:val="bottom"/>
            <w:hideMark/>
          </w:tcPr>
          <w:p w14:paraId="09B326D9" w14:textId="77777777" w:rsidR="002B350E" w:rsidRDefault="002B350E" w:rsidP="00892E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38E5F60D" w14:textId="77777777" w:rsidR="002B350E" w:rsidRDefault="002B350E" w:rsidP="004C12B5">
            <w:pPr>
              <w:ind w:right="-57"/>
              <w:jc w:val="right"/>
              <w:rPr>
                <w:rFonts w:ascii="Calibri Light" w:hAnsi="Calibri Light" w:cs="Arial"/>
                <w:sz w:val="22"/>
                <w:szCs w:val="22"/>
              </w:rPr>
            </w:pPr>
            <w:r>
              <w:rPr>
                <w:rFonts w:ascii="Calibri Light" w:hAnsi="Calibri Light" w:cs="Arial"/>
                <w:color w:val="FF0000"/>
                <w:sz w:val="22"/>
                <w:szCs w:val="22"/>
              </w:rPr>
              <w:t>(18,748,005)</w:t>
            </w:r>
          </w:p>
        </w:tc>
        <w:tc>
          <w:tcPr>
            <w:tcW w:w="236" w:type="dxa"/>
            <w:tcBorders>
              <w:top w:val="nil"/>
              <w:left w:val="nil"/>
              <w:bottom w:val="nil"/>
              <w:right w:val="nil"/>
            </w:tcBorders>
            <w:shd w:val="clear" w:color="auto" w:fill="auto"/>
            <w:noWrap/>
            <w:vAlign w:val="bottom"/>
            <w:hideMark/>
          </w:tcPr>
          <w:p w14:paraId="691D126F" w14:textId="77777777" w:rsidR="002B350E" w:rsidRDefault="002B350E" w:rsidP="00892EB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1B5911A1" w14:textId="28397A09" w:rsidR="002B350E" w:rsidRDefault="002B350E" w:rsidP="005032B6">
            <w:pPr>
              <w:ind w:right="-57"/>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43061725" w14:textId="77777777" w:rsidR="002B350E" w:rsidRDefault="002B350E" w:rsidP="005032B6">
            <w:pPr>
              <w:ind w:right="-57"/>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5BB2AF1F" w14:textId="1638ADF9" w:rsidR="002B350E" w:rsidRDefault="002B350E" w:rsidP="005032B6">
            <w:pPr>
              <w:ind w:right="-57"/>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70F51971" w14:textId="77777777" w:rsidR="002B350E" w:rsidRDefault="002B350E" w:rsidP="005032B6">
            <w:pPr>
              <w:ind w:right="-57"/>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05DDF472" w14:textId="49C3C36E" w:rsidR="002B350E" w:rsidRDefault="002B350E" w:rsidP="005032B6">
            <w:pPr>
              <w:ind w:right="-57"/>
              <w:jc w:val="right"/>
              <w:rPr>
                <w:rFonts w:ascii="Calibri Light" w:hAnsi="Calibri Light" w:cs="Arial"/>
                <w:sz w:val="22"/>
                <w:szCs w:val="22"/>
              </w:rPr>
            </w:pPr>
            <w:r>
              <w:rPr>
                <w:rFonts w:ascii="Calibri Light" w:hAnsi="Calibri Light" w:cs="Arial"/>
                <w:sz w:val="22"/>
                <w:szCs w:val="22"/>
              </w:rPr>
              <w:t xml:space="preserve"> 6,067,267 </w:t>
            </w:r>
          </w:p>
        </w:tc>
        <w:tc>
          <w:tcPr>
            <w:tcW w:w="236" w:type="dxa"/>
            <w:tcBorders>
              <w:top w:val="nil"/>
              <w:left w:val="nil"/>
              <w:bottom w:val="nil"/>
              <w:right w:val="nil"/>
            </w:tcBorders>
            <w:shd w:val="clear" w:color="auto" w:fill="auto"/>
            <w:noWrap/>
            <w:vAlign w:val="bottom"/>
            <w:hideMark/>
          </w:tcPr>
          <w:p w14:paraId="2EF77E93" w14:textId="77777777" w:rsidR="002B350E" w:rsidRDefault="002B350E" w:rsidP="005032B6">
            <w:pPr>
              <w:ind w:right="-57"/>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67BF99FA" w14:textId="4E6028E9" w:rsidR="002B350E" w:rsidRDefault="002B350E" w:rsidP="005032B6">
            <w:pPr>
              <w:ind w:right="-57"/>
              <w:jc w:val="right"/>
              <w:rPr>
                <w:rFonts w:ascii="Calibri Light" w:hAnsi="Calibri Light" w:cs="Arial"/>
                <w:sz w:val="22"/>
                <w:szCs w:val="22"/>
              </w:rPr>
            </w:pPr>
            <w:r>
              <w:rPr>
                <w:rFonts w:ascii="Calibri Light" w:hAnsi="Calibri Light" w:cs="Arial"/>
                <w:sz w:val="22"/>
                <w:szCs w:val="22"/>
              </w:rPr>
              <w:t xml:space="preserve">8,502,950 </w:t>
            </w:r>
          </w:p>
        </w:tc>
      </w:tr>
      <w:tr w:rsidR="00263AF8" w14:paraId="232557E5" w14:textId="77777777" w:rsidTr="00C37A27">
        <w:trPr>
          <w:trHeight w:val="283"/>
        </w:trPr>
        <w:tc>
          <w:tcPr>
            <w:tcW w:w="3481" w:type="dxa"/>
            <w:tcBorders>
              <w:top w:val="nil"/>
              <w:left w:val="nil"/>
              <w:bottom w:val="nil"/>
              <w:right w:val="nil"/>
            </w:tcBorders>
            <w:shd w:val="clear" w:color="auto" w:fill="auto"/>
            <w:noWrap/>
            <w:vAlign w:val="bottom"/>
            <w:hideMark/>
          </w:tcPr>
          <w:p w14:paraId="085A6BE9" w14:textId="7808AD06" w:rsidR="002B350E" w:rsidRDefault="002B350E">
            <w:pPr>
              <w:rPr>
                <w:rFonts w:ascii="Calibri Light" w:hAnsi="Calibri Light" w:cs="Arial"/>
                <w:sz w:val="22"/>
                <w:szCs w:val="22"/>
              </w:rPr>
            </w:pPr>
            <w:r>
              <w:rPr>
                <w:rFonts w:ascii="Calibri Light" w:hAnsi="Calibri Light" w:cs="Arial"/>
                <w:sz w:val="22"/>
                <w:szCs w:val="22"/>
              </w:rPr>
              <w:t xml:space="preserve">Total comprehensive </w:t>
            </w:r>
            <w:r w:rsidR="007C0F15">
              <w:rPr>
                <w:rFonts w:ascii="Calibri Light" w:hAnsi="Calibri Light" w:cs="Arial"/>
                <w:sz w:val="22"/>
                <w:szCs w:val="22"/>
              </w:rPr>
              <w:t>profit</w:t>
            </w:r>
            <w:r>
              <w:rPr>
                <w:rFonts w:ascii="Calibri Light" w:hAnsi="Calibri Light" w:cs="Arial"/>
                <w:sz w:val="22"/>
                <w:szCs w:val="22"/>
              </w:rPr>
              <w:t xml:space="preserve"> for the period</w:t>
            </w:r>
          </w:p>
        </w:tc>
        <w:tc>
          <w:tcPr>
            <w:tcW w:w="236" w:type="dxa"/>
            <w:tcBorders>
              <w:top w:val="nil"/>
              <w:left w:val="nil"/>
              <w:bottom w:val="nil"/>
              <w:right w:val="nil"/>
            </w:tcBorders>
            <w:shd w:val="clear" w:color="auto" w:fill="auto"/>
            <w:noWrap/>
            <w:vAlign w:val="bottom"/>
            <w:hideMark/>
          </w:tcPr>
          <w:p w14:paraId="0FEA7BED"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31A0E201" w14:textId="77777777"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40B0EF8" w14:textId="77777777" w:rsidR="002B350E" w:rsidRDefault="002B350E" w:rsidP="005032B6">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3749E1F6" w14:textId="77777777"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86E781B" w14:textId="77777777" w:rsidR="002B350E" w:rsidRDefault="002B350E" w:rsidP="00892E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31026034" w14:textId="7FE2AB4C" w:rsidR="002B350E" w:rsidRDefault="007C0F15" w:rsidP="004C12B5">
            <w:pPr>
              <w:ind w:right="-57"/>
              <w:jc w:val="right"/>
              <w:rPr>
                <w:rFonts w:ascii="Calibri Light" w:hAnsi="Calibri Light" w:cs="Arial"/>
                <w:sz w:val="22"/>
                <w:szCs w:val="22"/>
              </w:rPr>
            </w:pPr>
            <w:r>
              <w:rPr>
                <w:rFonts w:ascii="Calibri Light" w:hAnsi="Calibri Light" w:cs="Arial"/>
                <w:sz w:val="22"/>
                <w:szCs w:val="22"/>
              </w:rPr>
              <w:t>5,120,408</w:t>
            </w:r>
          </w:p>
        </w:tc>
        <w:tc>
          <w:tcPr>
            <w:tcW w:w="236" w:type="dxa"/>
            <w:tcBorders>
              <w:top w:val="nil"/>
              <w:left w:val="nil"/>
              <w:bottom w:val="nil"/>
              <w:right w:val="nil"/>
            </w:tcBorders>
            <w:shd w:val="clear" w:color="auto" w:fill="auto"/>
            <w:noWrap/>
            <w:vAlign w:val="bottom"/>
            <w:hideMark/>
          </w:tcPr>
          <w:p w14:paraId="43316DCD" w14:textId="77777777" w:rsidR="002B350E" w:rsidRDefault="002B350E" w:rsidP="00892EB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5A4E332E" w14:textId="77777777" w:rsidR="002B350E" w:rsidRDefault="002B350E" w:rsidP="00892E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50E4029" w14:textId="77777777" w:rsidR="002B350E" w:rsidRDefault="002B350E" w:rsidP="00892EB7">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0EC00D36" w14:textId="77777777" w:rsidR="002B350E" w:rsidRDefault="002B350E" w:rsidP="00892E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8C77973" w14:textId="77777777" w:rsidR="002B350E" w:rsidRDefault="002B350E" w:rsidP="00892EB7">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178B30C2" w14:textId="77777777" w:rsidR="002B350E" w:rsidRDefault="002B350E" w:rsidP="00892E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1DA3F3E" w14:textId="77777777" w:rsidR="002B350E" w:rsidRDefault="002B350E" w:rsidP="00892EB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3CB91347" w14:textId="35D28702" w:rsidR="002B350E" w:rsidRDefault="007C0F15" w:rsidP="004C12B5">
            <w:pPr>
              <w:ind w:right="-57"/>
              <w:jc w:val="right"/>
              <w:rPr>
                <w:rFonts w:ascii="Calibri Light" w:hAnsi="Calibri Light" w:cs="Arial"/>
                <w:sz w:val="22"/>
                <w:szCs w:val="22"/>
              </w:rPr>
            </w:pPr>
            <w:r>
              <w:rPr>
                <w:rFonts w:ascii="Calibri Light" w:hAnsi="Calibri Light" w:cs="Arial"/>
                <w:sz w:val="22"/>
                <w:szCs w:val="22"/>
              </w:rPr>
              <w:t>5,120,408</w:t>
            </w:r>
          </w:p>
        </w:tc>
      </w:tr>
      <w:tr w:rsidR="00263AF8" w14:paraId="28BE2ABD" w14:textId="77777777" w:rsidTr="00C37A27">
        <w:trPr>
          <w:trHeight w:val="283"/>
        </w:trPr>
        <w:tc>
          <w:tcPr>
            <w:tcW w:w="3481" w:type="dxa"/>
            <w:tcBorders>
              <w:top w:val="nil"/>
              <w:left w:val="nil"/>
              <w:bottom w:val="nil"/>
              <w:right w:val="nil"/>
            </w:tcBorders>
            <w:shd w:val="clear" w:color="auto" w:fill="auto"/>
            <w:noWrap/>
            <w:vAlign w:val="bottom"/>
            <w:hideMark/>
          </w:tcPr>
          <w:p w14:paraId="6AA9C282" w14:textId="77777777" w:rsidR="002B350E" w:rsidRDefault="002B350E">
            <w:pPr>
              <w:rPr>
                <w:rFonts w:ascii="Calibri Light" w:hAnsi="Calibri Light" w:cs="Arial"/>
                <w:sz w:val="22"/>
                <w:szCs w:val="22"/>
              </w:rPr>
            </w:pPr>
            <w:r>
              <w:rPr>
                <w:rFonts w:ascii="Calibri Light" w:hAnsi="Calibri Light" w:cs="Arial"/>
                <w:sz w:val="22"/>
                <w:szCs w:val="22"/>
              </w:rPr>
              <w:t>Issue of shares</w:t>
            </w:r>
          </w:p>
        </w:tc>
        <w:tc>
          <w:tcPr>
            <w:tcW w:w="236" w:type="dxa"/>
            <w:tcBorders>
              <w:top w:val="nil"/>
              <w:left w:val="nil"/>
              <w:bottom w:val="nil"/>
              <w:right w:val="nil"/>
            </w:tcBorders>
            <w:shd w:val="clear" w:color="auto" w:fill="auto"/>
            <w:noWrap/>
            <w:vAlign w:val="bottom"/>
            <w:hideMark/>
          </w:tcPr>
          <w:p w14:paraId="0D97D8A9"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155F804C" w14:textId="076B58F5"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75,917 </w:t>
            </w:r>
          </w:p>
        </w:tc>
        <w:tc>
          <w:tcPr>
            <w:tcW w:w="236" w:type="dxa"/>
            <w:tcBorders>
              <w:top w:val="nil"/>
              <w:left w:val="nil"/>
              <w:bottom w:val="nil"/>
              <w:right w:val="nil"/>
            </w:tcBorders>
            <w:shd w:val="clear" w:color="auto" w:fill="auto"/>
            <w:noWrap/>
            <w:vAlign w:val="bottom"/>
            <w:hideMark/>
          </w:tcPr>
          <w:p w14:paraId="0BC9A03B" w14:textId="77777777" w:rsidR="002B350E" w:rsidRDefault="002B350E" w:rsidP="005032B6">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5114A8E3" w14:textId="6E8F871D"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2,542,682 </w:t>
            </w:r>
          </w:p>
        </w:tc>
        <w:tc>
          <w:tcPr>
            <w:tcW w:w="236" w:type="dxa"/>
            <w:tcBorders>
              <w:top w:val="nil"/>
              <w:left w:val="nil"/>
              <w:bottom w:val="nil"/>
              <w:right w:val="nil"/>
            </w:tcBorders>
            <w:shd w:val="clear" w:color="auto" w:fill="auto"/>
            <w:noWrap/>
            <w:vAlign w:val="bottom"/>
            <w:hideMark/>
          </w:tcPr>
          <w:p w14:paraId="209FE1CF" w14:textId="77777777" w:rsidR="002B350E" w:rsidRDefault="002B350E" w:rsidP="00892E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30A697C5" w14:textId="77CEEB85"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21924AE" w14:textId="77777777" w:rsidR="002B350E" w:rsidRDefault="002B350E" w:rsidP="005032B6">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19A0DEF6" w14:textId="1D19857A"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B963C3D" w14:textId="77777777" w:rsidR="002B350E" w:rsidRDefault="002B350E" w:rsidP="005032B6">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5D91DBD5" w14:textId="76DE4B8D"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3FAB54E5" w14:textId="77777777" w:rsidR="002B350E" w:rsidRDefault="002B350E" w:rsidP="005032B6">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2AE498DA" w14:textId="476B36A2"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EC8BDDC" w14:textId="77777777" w:rsidR="002B350E" w:rsidRDefault="002B350E" w:rsidP="005032B6">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16287286" w14:textId="794D90DF"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2,618,599 </w:t>
            </w:r>
          </w:p>
        </w:tc>
      </w:tr>
      <w:tr w:rsidR="00263AF8" w14:paraId="71FB4778" w14:textId="77777777" w:rsidTr="00C37A27">
        <w:trPr>
          <w:trHeight w:val="283"/>
        </w:trPr>
        <w:tc>
          <w:tcPr>
            <w:tcW w:w="3481" w:type="dxa"/>
            <w:tcBorders>
              <w:top w:val="nil"/>
              <w:left w:val="nil"/>
              <w:bottom w:val="nil"/>
              <w:right w:val="nil"/>
            </w:tcBorders>
            <w:shd w:val="clear" w:color="auto" w:fill="auto"/>
            <w:noWrap/>
            <w:vAlign w:val="bottom"/>
            <w:hideMark/>
          </w:tcPr>
          <w:p w14:paraId="227A6702" w14:textId="77777777" w:rsidR="002B350E" w:rsidRDefault="002B350E">
            <w:pPr>
              <w:rPr>
                <w:rFonts w:ascii="Calibri Light" w:hAnsi="Calibri Light" w:cs="Arial"/>
                <w:sz w:val="22"/>
                <w:szCs w:val="22"/>
              </w:rPr>
            </w:pPr>
            <w:r>
              <w:rPr>
                <w:rFonts w:ascii="Calibri Light" w:hAnsi="Calibri Light" w:cs="Arial"/>
                <w:sz w:val="22"/>
                <w:szCs w:val="22"/>
              </w:rPr>
              <w:t>Costs in respect of shares issued</w:t>
            </w:r>
          </w:p>
        </w:tc>
        <w:tc>
          <w:tcPr>
            <w:tcW w:w="236" w:type="dxa"/>
            <w:tcBorders>
              <w:top w:val="nil"/>
              <w:left w:val="nil"/>
              <w:bottom w:val="nil"/>
              <w:right w:val="nil"/>
            </w:tcBorders>
            <w:shd w:val="clear" w:color="auto" w:fill="auto"/>
            <w:noWrap/>
            <w:vAlign w:val="bottom"/>
            <w:hideMark/>
          </w:tcPr>
          <w:p w14:paraId="4CCE831B"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2988724F" w14:textId="3281A4A6"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2960FD2" w14:textId="77777777" w:rsidR="002B350E" w:rsidRDefault="002B350E" w:rsidP="00892EB7">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01E9E44D" w14:textId="77777777" w:rsidR="002B350E" w:rsidRDefault="002B350E" w:rsidP="00485ADD">
            <w:pPr>
              <w:ind w:right="-57"/>
              <w:jc w:val="right"/>
              <w:rPr>
                <w:rFonts w:ascii="Calibri Light" w:hAnsi="Calibri Light" w:cs="Arial"/>
                <w:sz w:val="22"/>
                <w:szCs w:val="22"/>
              </w:rPr>
            </w:pPr>
            <w:r>
              <w:rPr>
                <w:rFonts w:ascii="Calibri Light" w:hAnsi="Calibri Light" w:cs="Arial"/>
                <w:color w:val="FF0000"/>
                <w:sz w:val="22"/>
                <w:szCs w:val="22"/>
              </w:rPr>
              <w:t>(112,103)</w:t>
            </w:r>
          </w:p>
        </w:tc>
        <w:tc>
          <w:tcPr>
            <w:tcW w:w="236" w:type="dxa"/>
            <w:tcBorders>
              <w:top w:val="nil"/>
              <w:left w:val="nil"/>
              <w:bottom w:val="nil"/>
              <w:right w:val="nil"/>
            </w:tcBorders>
            <w:shd w:val="clear" w:color="auto" w:fill="auto"/>
            <w:noWrap/>
            <w:vAlign w:val="bottom"/>
            <w:hideMark/>
          </w:tcPr>
          <w:p w14:paraId="04E81EF0" w14:textId="77777777" w:rsidR="002B350E" w:rsidRDefault="002B350E" w:rsidP="00892E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57F7A32C" w14:textId="119807EB"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23BB27B" w14:textId="77777777" w:rsidR="002B350E" w:rsidRDefault="002B350E" w:rsidP="006469E3">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573AEBA1" w14:textId="2093E1DA"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A6E5C41" w14:textId="77777777" w:rsidR="002B350E" w:rsidRDefault="002B350E" w:rsidP="006469E3">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46D5D825" w14:textId="48D0F67A"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4D1D591" w14:textId="77777777" w:rsidR="002B350E" w:rsidRDefault="002B350E" w:rsidP="006469E3">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50FAD226" w14:textId="347DABFF"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15CD7AB" w14:textId="77777777" w:rsidR="002B350E" w:rsidRDefault="002B350E" w:rsidP="00892EB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21CA8920" w14:textId="77777777" w:rsidR="002B350E" w:rsidRDefault="002B350E" w:rsidP="005032B6">
            <w:pPr>
              <w:ind w:right="-57"/>
              <w:jc w:val="right"/>
              <w:rPr>
                <w:rFonts w:ascii="Calibri Light" w:hAnsi="Calibri Light" w:cs="Arial"/>
                <w:sz w:val="22"/>
                <w:szCs w:val="22"/>
              </w:rPr>
            </w:pPr>
            <w:r>
              <w:rPr>
                <w:rFonts w:ascii="Calibri Light" w:hAnsi="Calibri Light" w:cs="Arial"/>
                <w:color w:val="FF0000"/>
                <w:sz w:val="22"/>
                <w:szCs w:val="22"/>
              </w:rPr>
              <w:t>(112,103)</w:t>
            </w:r>
          </w:p>
        </w:tc>
      </w:tr>
      <w:tr w:rsidR="00263AF8" w14:paraId="4BFE6C50" w14:textId="77777777" w:rsidTr="00C37A27">
        <w:trPr>
          <w:trHeight w:val="283"/>
        </w:trPr>
        <w:tc>
          <w:tcPr>
            <w:tcW w:w="3481" w:type="dxa"/>
            <w:tcBorders>
              <w:top w:val="nil"/>
              <w:left w:val="nil"/>
              <w:bottom w:val="nil"/>
              <w:right w:val="nil"/>
            </w:tcBorders>
            <w:shd w:val="clear" w:color="auto" w:fill="auto"/>
            <w:noWrap/>
            <w:vAlign w:val="bottom"/>
            <w:hideMark/>
          </w:tcPr>
          <w:p w14:paraId="4FF1C54C" w14:textId="204D1728" w:rsidR="002B350E" w:rsidRDefault="002B350E">
            <w:pPr>
              <w:rPr>
                <w:rFonts w:ascii="Calibri Light" w:hAnsi="Calibri Light" w:cs="Arial"/>
                <w:sz w:val="22"/>
                <w:szCs w:val="22"/>
              </w:rPr>
            </w:pPr>
            <w:r>
              <w:rPr>
                <w:rFonts w:ascii="Calibri Light" w:hAnsi="Calibri Light" w:cs="Arial"/>
                <w:sz w:val="22"/>
                <w:szCs w:val="22"/>
              </w:rPr>
              <w:t>Equity settled share</w:t>
            </w:r>
            <w:r w:rsidR="005032B6">
              <w:rPr>
                <w:rFonts w:ascii="Calibri Light" w:hAnsi="Calibri Light" w:cs="Arial"/>
                <w:sz w:val="22"/>
                <w:szCs w:val="22"/>
              </w:rPr>
              <w:t>-</w:t>
            </w:r>
            <w:r>
              <w:rPr>
                <w:rFonts w:ascii="Calibri Light" w:hAnsi="Calibri Light" w:cs="Arial"/>
                <w:sz w:val="22"/>
                <w:szCs w:val="22"/>
              </w:rPr>
              <w:t>based payment</w:t>
            </w:r>
          </w:p>
        </w:tc>
        <w:tc>
          <w:tcPr>
            <w:tcW w:w="236" w:type="dxa"/>
            <w:tcBorders>
              <w:top w:val="nil"/>
              <w:left w:val="nil"/>
              <w:bottom w:val="nil"/>
              <w:right w:val="nil"/>
            </w:tcBorders>
            <w:shd w:val="clear" w:color="auto" w:fill="auto"/>
            <w:noWrap/>
            <w:vAlign w:val="bottom"/>
            <w:hideMark/>
          </w:tcPr>
          <w:p w14:paraId="092AD472"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4B24D91A" w14:textId="6A34207E"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FA9A36B" w14:textId="77777777" w:rsidR="002B350E" w:rsidRDefault="002B350E" w:rsidP="006469E3">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09EF2C12" w14:textId="28D52547"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21,640 </w:t>
            </w:r>
          </w:p>
        </w:tc>
        <w:tc>
          <w:tcPr>
            <w:tcW w:w="236" w:type="dxa"/>
            <w:tcBorders>
              <w:top w:val="nil"/>
              <w:left w:val="nil"/>
              <w:bottom w:val="nil"/>
              <w:right w:val="nil"/>
            </w:tcBorders>
            <w:shd w:val="clear" w:color="auto" w:fill="auto"/>
            <w:noWrap/>
            <w:vAlign w:val="bottom"/>
            <w:hideMark/>
          </w:tcPr>
          <w:p w14:paraId="377A6D1B" w14:textId="77777777" w:rsidR="002B350E" w:rsidRDefault="002B350E" w:rsidP="006469E3">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6EB871FB" w14:textId="34DD8F98"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180,134 </w:t>
            </w:r>
          </w:p>
        </w:tc>
        <w:tc>
          <w:tcPr>
            <w:tcW w:w="236" w:type="dxa"/>
            <w:tcBorders>
              <w:top w:val="nil"/>
              <w:left w:val="nil"/>
              <w:bottom w:val="nil"/>
              <w:right w:val="nil"/>
            </w:tcBorders>
            <w:shd w:val="clear" w:color="auto" w:fill="auto"/>
            <w:noWrap/>
            <w:vAlign w:val="bottom"/>
            <w:hideMark/>
          </w:tcPr>
          <w:p w14:paraId="34F9ADD5" w14:textId="77777777" w:rsidR="002B350E" w:rsidRDefault="002B350E" w:rsidP="006469E3">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698EA3C3" w14:textId="51B506FC"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02D5273" w14:textId="77777777" w:rsidR="002B350E" w:rsidRDefault="002B350E" w:rsidP="006469E3">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05C0BAC1" w14:textId="57BE7901"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DC941B3" w14:textId="77777777" w:rsidR="002B350E" w:rsidRDefault="002B350E" w:rsidP="006469E3">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3CEA43B9" w14:textId="2382928A" w:rsidR="002B350E" w:rsidRDefault="002B350E" w:rsidP="006469E3">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234E5EE" w14:textId="77777777" w:rsidR="002B350E" w:rsidRDefault="002B350E" w:rsidP="00892EB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42658725" w14:textId="77777777" w:rsidR="002B350E" w:rsidRDefault="002B350E" w:rsidP="00892EB7">
            <w:pPr>
              <w:jc w:val="right"/>
              <w:rPr>
                <w:rFonts w:ascii="Calibri Light" w:hAnsi="Calibri Light" w:cs="Arial"/>
                <w:sz w:val="22"/>
                <w:szCs w:val="22"/>
              </w:rPr>
            </w:pPr>
            <w:r>
              <w:rPr>
                <w:rFonts w:ascii="Calibri Light" w:hAnsi="Calibri Light" w:cs="Arial"/>
                <w:sz w:val="22"/>
                <w:szCs w:val="22"/>
              </w:rPr>
              <w:t xml:space="preserve">         201,774 </w:t>
            </w:r>
          </w:p>
        </w:tc>
      </w:tr>
      <w:tr w:rsidR="007C0F15" w14:paraId="46CE2A8B" w14:textId="77777777" w:rsidTr="00C37A27">
        <w:trPr>
          <w:trHeight w:val="283"/>
        </w:trPr>
        <w:tc>
          <w:tcPr>
            <w:tcW w:w="3481" w:type="dxa"/>
            <w:tcBorders>
              <w:top w:val="nil"/>
              <w:left w:val="nil"/>
              <w:bottom w:val="nil"/>
              <w:right w:val="nil"/>
            </w:tcBorders>
            <w:shd w:val="clear" w:color="auto" w:fill="auto"/>
            <w:noWrap/>
            <w:vAlign w:val="bottom"/>
          </w:tcPr>
          <w:p w14:paraId="13DDA58E" w14:textId="77777777" w:rsidR="007C0F15" w:rsidRDefault="007C0F15" w:rsidP="007C0F15">
            <w:pPr>
              <w:rPr>
                <w:rFonts w:ascii="Calibri Light" w:hAnsi="Calibri Light" w:cs="Arial"/>
                <w:sz w:val="22"/>
                <w:szCs w:val="22"/>
              </w:rPr>
            </w:pPr>
            <w:r>
              <w:rPr>
                <w:rFonts w:ascii="Calibri Light" w:hAnsi="Calibri Light" w:cs="Arial"/>
                <w:sz w:val="22"/>
                <w:szCs w:val="22"/>
              </w:rPr>
              <w:t>Transfer to fair value reserve</w:t>
            </w:r>
          </w:p>
        </w:tc>
        <w:tc>
          <w:tcPr>
            <w:tcW w:w="236" w:type="dxa"/>
            <w:tcBorders>
              <w:top w:val="nil"/>
              <w:left w:val="nil"/>
              <w:bottom w:val="nil"/>
              <w:right w:val="nil"/>
            </w:tcBorders>
            <w:shd w:val="clear" w:color="auto" w:fill="auto"/>
            <w:noWrap/>
            <w:vAlign w:val="bottom"/>
          </w:tcPr>
          <w:p w14:paraId="3924EFBC" w14:textId="77777777" w:rsidR="007C0F15" w:rsidRDefault="007C0F15" w:rsidP="007C0F15">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tcPr>
          <w:p w14:paraId="590DCD25" w14:textId="77777777" w:rsidR="007C0F15" w:rsidRDefault="007C0F15" w:rsidP="007C0F15">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tcPr>
          <w:p w14:paraId="0183FA15" w14:textId="77777777" w:rsidR="007C0F15" w:rsidRDefault="007C0F15" w:rsidP="007C0F15">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tcPr>
          <w:p w14:paraId="3F1DB1D9" w14:textId="77777777" w:rsidR="007C0F15" w:rsidRDefault="007C0F15" w:rsidP="007C0F15">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tcPr>
          <w:p w14:paraId="713CB0D7" w14:textId="77777777" w:rsidR="007C0F15" w:rsidRDefault="007C0F15" w:rsidP="007C0F15">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tcPr>
          <w:p w14:paraId="405919B2" w14:textId="77777777" w:rsidR="007C0F15" w:rsidRDefault="007C0F15" w:rsidP="007C0F15">
            <w:pPr>
              <w:ind w:right="-57"/>
              <w:jc w:val="right"/>
              <w:rPr>
                <w:rFonts w:ascii="Calibri Light" w:hAnsi="Calibri Light" w:cs="Arial"/>
                <w:sz w:val="22"/>
                <w:szCs w:val="22"/>
              </w:rPr>
            </w:pPr>
            <w:r>
              <w:rPr>
                <w:rFonts w:ascii="Calibri Light" w:hAnsi="Calibri Light" w:cs="Arial"/>
                <w:color w:val="FF0000"/>
                <w:sz w:val="22"/>
                <w:szCs w:val="22"/>
              </w:rPr>
              <w:t>(5,734,035)</w:t>
            </w:r>
          </w:p>
        </w:tc>
        <w:tc>
          <w:tcPr>
            <w:tcW w:w="236" w:type="dxa"/>
            <w:tcBorders>
              <w:top w:val="nil"/>
              <w:left w:val="nil"/>
              <w:bottom w:val="nil"/>
              <w:right w:val="nil"/>
            </w:tcBorders>
            <w:shd w:val="clear" w:color="auto" w:fill="auto"/>
            <w:noWrap/>
            <w:vAlign w:val="bottom"/>
          </w:tcPr>
          <w:p w14:paraId="353BA997" w14:textId="77777777" w:rsidR="007C0F15" w:rsidRDefault="007C0F15" w:rsidP="007C0F15">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tcPr>
          <w:p w14:paraId="4CE5DD39" w14:textId="77777777" w:rsidR="007C0F15" w:rsidRDefault="007C0F15" w:rsidP="007C0F15">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tcPr>
          <w:p w14:paraId="2964A59B" w14:textId="77777777" w:rsidR="007C0F15" w:rsidRDefault="007C0F15" w:rsidP="007C0F15">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tcPr>
          <w:p w14:paraId="1531F33E" w14:textId="77777777" w:rsidR="007C0F15" w:rsidRDefault="007C0F15" w:rsidP="007C0F15">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tcPr>
          <w:p w14:paraId="384D5363" w14:textId="77777777" w:rsidR="007C0F15" w:rsidRDefault="007C0F15" w:rsidP="007C0F15">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tcPr>
          <w:p w14:paraId="0984C9D8" w14:textId="77777777" w:rsidR="007C0F15" w:rsidRDefault="00261FEE" w:rsidP="007C0F15">
            <w:pPr>
              <w:jc w:val="right"/>
              <w:rPr>
                <w:rFonts w:ascii="Calibri Light" w:hAnsi="Calibri Light" w:cs="Arial"/>
                <w:sz w:val="22"/>
                <w:szCs w:val="22"/>
              </w:rPr>
            </w:pPr>
            <w:r>
              <w:rPr>
                <w:rFonts w:ascii="Calibri Light" w:hAnsi="Calibri Light" w:cs="Arial"/>
                <w:sz w:val="22"/>
                <w:szCs w:val="22"/>
              </w:rPr>
              <w:t>5,734,035</w:t>
            </w:r>
            <w:r w:rsidR="007C0F15">
              <w:rPr>
                <w:rFonts w:ascii="Calibri Light" w:hAnsi="Calibri Light" w:cs="Arial"/>
                <w:sz w:val="22"/>
                <w:szCs w:val="22"/>
              </w:rPr>
              <w:t xml:space="preserve"> </w:t>
            </w:r>
          </w:p>
        </w:tc>
        <w:tc>
          <w:tcPr>
            <w:tcW w:w="236" w:type="dxa"/>
            <w:tcBorders>
              <w:top w:val="nil"/>
              <w:left w:val="nil"/>
              <w:bottom w:val="nil"/>
              <w:right w:val="nil"/>
            </w:tcBorders>
            <w:shd w:val="clear" w:color="auto" w:fill="auto"/>
            <w:noWrap/>
            <w:vAlign w:val="bottom"/>
          </w:tcPr>
          <w:p w14:paraId="464024E2" w14:textId="77777777" w:rsidR="007C0F15" w:rsidRDefault="007C0F15" w:rsidP="007C0F15">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tcPr>
          <w:p w14:paraId="25D3BB89" w14:textId="77777777" w:rsidR="007C0F15" w:rsidRDefault="007C0F15" w:rsidP="007C0F15">
            <w:pPr>
              <w:jc w:val="right"/>
              <w:rPr>
                <w:rFonts w:ascii="Calibri Light" w:hAnsi="Calibri Light" w:cs="Arial"/>
                <w:sz w:val="22"/>
                <w:szCs w:val="22"/>
              </w:rPr>
            </w:pPr>
            <w:r>
              <w:rPr>
                <w:rFonts w:ascii="Calibri Light" w:hAnsi="Calibri Light" w:cs="Arial"/>
                <w:sz w:val="22"/>
                <w:szCs w:val="22"/>
              </w:rPr>
              <w:t xml:space="preserve">                     -   </w:t>
            </w:r>
          </w:p>
        </w:tc>
      </w:tr>
      <w:tr w:rsidR="00263AF8" w14:paraId="5FC8CC75" w14:textId="77777777" w:rsidTr="00C37A27">
        <w:trPr>
          <w:trHeight w:val="283"/>
        </w:trPr>
        <w:tc>
          <w:tcPr>
            <w:tcW w:w="3481" w:type="dxa"/>
            <w:tcBorders>
              <w:top w:val="nil"/>
              <w:left w:val="nil"/>
              <w:bottom w:val="nil"/>
              <w:right w:val="nil"/>
            </w:tcBorders>
            <w:shd w:val="clear" w:color="auto" w:fill="auto"/>
            <w:noWrap/>
            <w:vAlign w:val="bottom"/>
            <w:hideMark/>
          </w:tcPr>
          <w:p w14:paraId="7A8E09AF" w14:textId="77777777" w:rsidR="002B350E" w:rsidRDefault="002B350E">
            <w:pPr>
              <w:rPr>
                <w:rFonts w:ascii="Calibri Light" w:hAnsi="Calibri Light" w:cs="Arial"/>
                <w:b/>
                <w:bCs/>
                <w:sz w:val="22"/>
                <w:szCs w:val="22"/>
              </w:rPr>
            </w:pPr>
            <w:r>
              <w:rPr>
                <w:rFonts w:ascii="Calibri Light" w:hAnsi="Calibri Light" w:cs="Arial"/>
                <w:b/>
                <w:bCs/>
                <w:sz w:val="22"/>
                <w:szCs w:val="22"/>
              </w:rPr>
              <w:t>At 30 June 2022</w:t>
            </w:r>
          </w:p>
        </w:tc>
        <w:tc>
          <w:tcPr>
            <w:tcW w:w="236" w:type="dxa"/>
            <w:tcBorders>
              <w:top w:val="nil"/>
              <w:left w:val="nil"/>
              <w:bottom w:val="nil"/>
              <w:right w:val="nil"/>
            </w:tcBorders>
            <w:shd w:val="clear" w:color="auto" w:fill="auto"/>
            <w:noWrap/>
            <w:vAlign w:val="bottom"/>
            <w:hideMark/>
          </w:tcPr>
          <w:p w14:paraId="3616697F" w14:textId="77777777" w:rsidR="002B350E" w:rsidRDefault="002B350E">
            <w:pPr>
              <w:rPr>
                <w:rFonts w:ascii="Calibri Light" w:hAnsi="Calibri Light" w:cs="Arial"/>
                <w:b/>
                <w:bCs/>
                <w:sz w:val="22"/>
                <w:szCs w:val="22"/>
              </w:rPr>
            </w:pPr>
          </w:p>
        </w:tc>
        <w:tc>
          <w:tcPr>
            <w:tcW w:w="1304" w:type="dxa"/>
            <w:tcBorders>
              <w:top w:val="single" w:sz="4" w:space="0" w:color="auto"/>
              <w:left w:val="nil"/>
              <w:bottom w:val="double" w:sz="6" w:space="0" w:color="auto"/>
              <w:right w:val="nil"/>
            </w:tcBorders>
            <w:shd w:val="clear" w:color="auto" w:fill="auto"/>
            <w:noWrap/>
            <w:vAlign w:val="bottom"/>
            <w:hideMark/>
          </w:tcPr>
          <w:p w14:paraId="14DA0EC5" w14:textId="0690837C" w:rsidR="002B350E" w:rsidRDefault="002B350E" w:rsidP="005032B6">
            <w:pPr>
              <w:jc w:val="right"/>
              <w:rPr>
                <w:rFonts w:ascii="Calibri Light" w:hAnsi="Calibri Light" w:cs="Arial"/>
                <w:sz w:val="22"/>
                <w:szCs w:val="22"/>
              </w:rPr>
            </w:pPr>
            <w:r>
              <w:rPr>
                <w:rFonts w:ascii="Calibri Light" w:hAnsi="Calibri Light" w:cs="Arial"/>
                <w:sz w:val="22"/>
                <w:szCs w:val="22"/>
              </w:rPr>
              <w:t xml:space="preserve">    7,200,272 </w:t>
            </w:r>
          </w:p>
        </w:tc>
        <w:tc>
          <w:tcPr>
            <w:tcW w:w="236" w:type="dxa"/>
            <w:tcBorders>
              <w:top w:val="nil"/>
              <w:left w:val="nil"/>
              <w:bottom w:val="nil"/>
              <w:right w:val="nil"/>
            </w:tcBorders>
            <w:shd w:val="clear" w:color="auto" w:fill="auto"/>
            <w:noWrap/>
            <w:vAlign w:val="bottom"/>
            <w:hideMark/>
          </w:tcPr>
          <w:p w14:paraId="0C75690C" w14:textId="77777777" w:rsidR="002B350E" w:rsidRDefault="002B350E" w:rsidP="00892EB7">
            <w:pPr>
              <w:jc w:val="right"/>
              <w:rPr>
                <w:rFonts w:ascii="Calibri Light" w:hAnsi="Calibri Light" w:cs="Arial"/>
                <w:sz w:val="22"/>
                <w:szCs w:val="22"/>
              </w:rPr>
            </w:pPr>
          </w:p>
        </w:tc>
        <w:tc>
          <w:tcPr>
            <w:tcW w:w="1229" w:type="dxa"/>
            <w:tcBorders>
              <w:top w:val="single" w:sz="4" w:space="0" w:color="auto"/>
              <w:left w:val="nil"/>
              <w:bottom w:val="double" w:sz="6" w:space="0" w:color="auto"/>
              <w:right w:val="nil"/>
            </w:tcBorders>
            <w:shd w:val="clear" w:color="auto" w:fill="auto"/>
            <w:noWrap/>
            <w:vAlign w:val="bottom"/>
            <w:hideMark/>
          </w:tcPr>
          <w:p w14:paraId="0F4B9DCC" w14:textId="575BE215" w:rsidR="002B350E" w:rsidRDefault="002B350E" w:rsidP="001B35EB">
            <w:pPr>
              <w:rPr>
                <w:rFonts w:ascii="Calibri Light" w:hAnsi="Calibri Light" w:cs="Arial"/>
                <w:sz w:val="22"/>
                <w:szCs w:val="22"/>
              </w:rPr>
            </w:pPr>
            <w:r>
              <w:rPr>
                <w:rFonts w:ascii="Calibri Light" w:hAnsi="Calibri Light" w:cs="Arial"/>
                <w:sz w:val="22"/>
                <w:szCs w:val="22"/>
              </w:rPr>
              <w:t xml:space="preserve">14,051,552 </w:t>
            </w:r>
          </w:p>
        </w:tc>
        <w:tc>
          <w:tcPr>
            <w:tcW w:w="236" w:type="dxa"/>
            <w:tcBorders>
              <w:top w:val="nil"/>
              <w:left w:val="nil"/>
              <w:bottom w:val="nil"/>
              <w:right w:val="nil"/>
            </w:tcBorders>
            <w:shd w:val="clear" w:color="auto" w:fill="auto"/>
            <w:noWrap/>
            <w:vAlign w:val="bottom"/>
            <w:hideMark/>
          </w:tcPr>
          <w:p w14:paraId="62F14392" w14:textId="77777777" w:rsidR="002B350E" w:rsidRDefault="002B350E" w:rsidP="00892EB7">
            <w:pPr>
              <w:jc w:val="right"/>
              <w:rPr>
                <w:rFonts w:ascii="Calibri Light" w:hAnsi="Calibri Light" w:cs="Arial"/>
                <w:sz w:val="22"/>
                <w:szCs w:val="22"/>
              </w:rPr>
            </w:pPr>
          </w:p>
        </w:tc>
        <w:tc>
          <w:tcPr>
            <w:tcW w:w="1349" w:type="dxa"/>
            <w:tcBorders>
              <w:top w:val="single" w:sz="4" w:space="0" w:color="auto"/>
              <w:left w:val="nil"/>
              <w:bottom w:val="double" w:sz="6" w:space="0" w:color="auto"/>
              <w:right w:val="nil"/>
            </w:tcBorders>
            <w:shd w:val="clear" w:color="auto" w:fill="auto"/>
            <w:noWrap/>
            <w:vAlign w:val="bottom"/>
            <w:hideMark/>
          </w:tcPr>
          <w:p w14:paraId="5CBA152C" w14:textId="77777777" w:rsidR="002B350E" w:rsidRDefault="002B350E" w:rsidP="00485ADD">
            <w:pPr>
              <w:ind w:right="-57"/>
              <w:jc w:val="right"/>
              <w:rPr>
                <w:rFonts w:ascii="Calibri Light" w:hAnsi="Calibri Light" w:cs="Arial"/>
                <w:sz w:val="22"/>
                <w:szCs w:val="22"/>
              </w:rPr>
            </w:pPr>
            <w:r>
              <w:rPr>
                <w:rFonts w:ascii="Calibri Light" w:hAnsi="Calibri Light" w:cs="Arial"/>
                <w:color w:val="FF0000"/>
                <w:sz w:val="22"/>
                <w:szCs w:val="22"/>
              </w:rPr>
              <w:t>(19,181,498)</w:t>
            </w:r>
          </w:p>
        </w:tc>
        <w:tc>
          <w:tcPr>
            <w:tcW w:w="236" w:type="dxa"/>
            <w:tcBorders>
              <w:top w:val="nil"/>
              <w:left w:val="nil"/>
              <w:bottom w:val="nil"/>
              <w:right w:val="nil"/>
            </w:tcBorders>
            <w:shd w:val="clear" w:color="auto" w:fill="auto"/>
            <w:noWrap/>
            <w:vAlign w:val="bottom"/>
            <w:hideMark/>
          </w:tcPr>
          <w:p w14:paraId="69CB30B8" w14:textId="77777777" w:rsidR="002B350E" w:rsidRDefault="002B350E" w:rsidP="00892EB7">
            <w:pPr>
              <w:jc w:val="right"/>
              <w:rPr>
                <w:rFonts w:ascii="Calibri Light" w:hAnsi="Calibri Light" w:cs="Arial"/>
                <w:sz w:val="22"/>
                <w:szCs w:val="22"/>
              </w:rPr>
            </w:pPr>
          </w:p>
        </w:tc>
        <w:tc>
          <w:tcPr>
            <w:tcW w:w="1293" w:type="dxa"/>
            <w:tcBorders>
              <w:top w:val="single" w:sz="4" w:space="0" w:color="auto"/>
              <w:left w:val="nil"/>
              <w:bottom w:val="double" w:sz="6" w:space="0" w:color="auto"/>
              <w:right w:val="nil"/>
            </w:tcBorders>
            <w:shd w:val="clear" w:color="auto" w:fill="auto"/>
            <w:noWrap/>
            <w:vAlign w:val="bottom"/>
            <w:hideMark/>
          </w:tcPr>
          <w:p w14:paraId="3318E6B9" w14:textId="647ADC40" w:rsidR="002B350E" w:rsidRDefault="002B350E" w:rsidP="00FB0BDE">
            <w:pPr>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5D5825EA" w14:textId="77777777" w:rsidR="002B350E" w:rsidRDefault="002B350E" w:rsidP="00FB0BDE">
            <w:pPr>
              <w:jc w:val="right"/>
              <w:rPr>
                <w:rFonts w:ascii="Calibri Light" w:hAnsi="Calibri Light" w:cs="Arial"/>
                <w:sz w:val="22"/>
                <w:szCs w:val="22"/>
              </w:rPr>
            </w:pPr>
          </w:p>
        </w:tc>
        <w:tc>
          <w:tcPr>
            <w:tcW w:w="1124" w:type="dxa"/>
            <w:tcBorders>
              <w:top w:val="single" w:sz="4" w:space="0" w:color="auto"/>
              <w:left w:val="nil"/>
              <w:bottom w:val="double" w:sz="6" w:space="0" w:color="auto"/>
              <w:right w:val="nil"/>
            </w:tcBorders>
            <w:shd w:val="clear" w:color="auto" w:fill="auto"/>
            <w:noWrap/>
            <w:vAlign w:val="bottom"/>
            <w:hideMark/>
          </w:tcPr>
          <w:p w14:paraId="19B372A1" w14:textId="69E0E377" w:rsidR="002B350E" w:rsidRDefault="002B350E" w:rsidP="00FB0BDE">
            <w:pPr>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14413E31" w14:textId="77777777" w:rsidR="002B350E" w:rsidRDefault="002B350E" w:rsidP="00FB0BDE">
            <w:pPr>
              <w:jc w:val="right"/>
              <w:rPr>
                <w:rFonts w:ascii="Calibri Light" w:hAnsi="Calibri Light" w:cs="Arial"/>
                <w:sz w:val="22"/>
                <w:szCs w:val="22"/>
              </w:rPr>
            </w:pPr>
          </w:p>
        </w:tc>
        <w:tc>
          <w:tcPr>
            <w:tcW w:w="1236" w:type="dxa"/>
            <w:tcBorders>
              <w:top w:val="single" w:sz="4" w:space="0" w:color="auto"/>
              <w:left w:val="nil"/>
              <w:bottom w:val="double" w:sz="6" w:space="0" w:color="auto"/>
              <w:right w:val="nil"/>
            </w:tcBorders>
            <w:shd w:val="clear" w:color="auto" w:fill="auto"/>
            <w:noWrap/>
            <w:vAlign w:val="bottom"/>
            <w:hideMark/>
          </w:tcPr>
          <w:p w14:paraId="25FB9E04" w14:textId="68923011" w:rsidR="002B350E" w:rsidRDefault="00261FEE" w:rsidP="00FB0BDE">
            <w:pPr>
              <w:jc w:val="right"/>
              <w:rPr>
                <w:rFonts w:ascii="Calibri Light" w:hAnsi="Calibri Light" w:cs="Arial"/>
                <w:sz w:val="22"/>
                <w:szCs w:val="22"/>
              </w:rPr>
            </w:pPr>
            <w:r>
              <w:rPr>
                <w:rFonts w:ascii="Calibri Light" w:hAnsi="Calibri Light" w:cs="Arial"/>
                <w:sz w:val="22"/>
                <w:szCs w:val="22"/>
              </w:rPr>
              <w:t>11,801,302</w:t>
            </w:r>
            <w:r w:rsidR="002B350E">
              <w:rPr>
                <w:rFonts w:ascii="Calibri Light" w:hAnsi="Calibri Light" w:cs="Arial"/>
                <w:sz w:val="22"/>
                <w:szCs w:val="22"/>
              </w:rPr>
              <w:t xml:space="preserve"> </w:t>
            </w:r>
          </w:p>
        </w:tc>
        <w:tc>
          <w:tcPr>
            <w:tcW w:w="236" w:type="dxa"/>
            <w:tcBorders>
              <w:top w:val="nil"/>
              <w:left w:val="nil"/>
              <w:bottom w:val="nil"/>
              <w:right w:val="nil"/>
            </w:tcBorders>
            <w:shd w:val="clear" w:color="auto" w:fill="auto"/>
            <w:noWrap/>
            <w:vAlign w:val="bottom"/>
            <w:hideMark/>
          </w:tcPr>
          <w:p w14:paraId="40E9CC7B" w14:textId="77777777" w:rsidR="002B350E" w:rsidRDefault="002B350E" w:rsidP="00FB0BDE">
            <w:pPr>
              <w:jc w:val="right"/>
              <w:rPr>
                <w:rFonts w:ascii="Calibri Light" w:hAnsi="Calibri Light" w:cs="Arial"/>
                <w:sz w:val="22"/>
                <w:szCs w:val="22"/>
              </w:rPr>
            </w:pPr>
          </w:p>
        </w:tc>
        <w:tc>
          <w:tcPr>
            <w:tcW w:w="1404" w:type="dxa"/>
            <w:tcBorders>
              <w:top w:val="single" w:sz="4" w:space="0" w:color="auto"/>
              <w:left w:val="nil"/>
              <w:bottom w:val="double" w:sz="6" w:space="0" w:color="auto"/>
              <w:right w:val="nil"/>
            </w:tcBorders>
            <w:shd w:val="clear" w:color="auto" w:fill="auto"/>
            <w:noWrap/>
            <w:vAlign w:val="bottom"/>
            <w:hideMark/>
          </w:tcPr>
          <w:p w14:paraId="64565A08" w14:textId="4B4ADBEF" w:rsidR="002B350E" w:rsidRDefault="002B350E" w:rsidP="00FB0BDE">
            <w:pPr>
              <w:jc w:val="right"/>
              <w:rPr>
                <w:rFonts w:ascii="Calibri Light" w:hAnsi="Calibri Light" w:cs="Arial"/>
                <w:sz w:val="22"/>
                <w:szCs w:val="22"/>
              </w:rPr>
            </w:pPr>
            <w:r>
              <w:rPr>
                <w:rFonts w:ascii="Calibri Light" w:hAnsi="Calibri Light" w:cs="Arial"/>
                <w:sz w:val="22"/>
                <w:szCs w:val="22"/>
              </w:rPr>
              <w:t xml:space="preserve">   </w:t>
            </w:r>
            <w:r w:rsidR="007C0F15">
              <w:rPr>
                <w:rFonts w:ascii="Calibri Light" w:hAnsi="Calibri Light" w:cs="Arial"/>
                <w:sz w:val="22"/>
                <w:szCs w:val="22"/>
              </w:rPr>
              <w:t>1</w:t>
            </w:r>
            <w:r w:rsidR="00A625F0">
              <w:rPr>
                <w:rFonts w:ascii="Calibri Light" w:hAnsi="Calibri Light" w:cs="Arial"/>
                <w:sz w:val="22"/>
                <w:szCs w:val="22"/>
              </w:rPr>
              <w:t>6,331,628</w:t>
            </w:r>
            <w:r>
              <w:rPr>
                <w:rFonts w:ascii="Calibri Light" w:hAnsi="Calibri Light" w:cs="Arial"/>
                <w:sz w:val="22"/>
                <w:szCs w:val="22"/>
              </w:rPr>
              <w:t xml:space="preserve"> </w:t>
            </w:r>
          </w:p>
        </w:tc>
      </w:tr>
      <w:tr w:rsidR="00263AF8" w14:paraId="5B4E43FB" w14:textId="77777777" w:rsidTr="00C37A27">
        <w:trPr>
          <w:trHeight w:val="283"/>
        </w:trPr>
        <w:tc>
          <w:tcPr>
            <w:tcW w:w="3481" w:type="dxa"/>
            <w:tcBorders>
              <w:top w:val="nil"/>
              <w:left w:val="nil"/>
              <w:bottom w:val="nil"/>
              <w:right w:val="nil"/>
            </w:tcBorders>
            <w:shd w:val="clear" w:color="auto" w:fill="auto"/>
            <w:noWrap/>
            <w:vAlign w:val="bottom"/>
            <w:hideMark/>
          </w:tcPr>
          <w:p w14:paraId="25E9D2FE" w14:textId="77777777" w:rsidR="002B350E" w:rsidRDefault="002B350E" w:rsidP="00084D76">
            <w:pPr>
              <w:rPr>
                <w:rFonts w:ascii="Calibri Light" w:hAnsi="Calibri Light" w:cs="Arial"/>
                <w:i/>
                <w:iCs/>
                <w:sz w:val="22"/>
                <w:szCs w:val="22"/>
              </w:rPr>
            </w:pPr>
            <w:r>
              <w:rPr>
                <w:rFonts w:ascii="Calibri Light" w:hAnsi="Calibri Light" w:cs="Arial"/>
                <w:i/>
                <w:iCs/>
                <w:sz w:val="22"/>
                <w:szCs w:val="22"/>
              </w:rPr>
              <w:t>Unaudited</w:t>
            </w:r>
          </w:p>
        </w:tc>
        <w:tc>
          <w:tcPr>
            <w:tcW w:w="236" w:type="dxa"/>
            <w:tcBorders>
              <w:top w:val="nil"/>
              <w:left w:val="nil"/>
              <w:bottom w:val="nil"/>
              <w:right w:val="nil"/>
            </w:tcBorders>
            <w:shd w:val="clear" w:color="auto" w:fill="auto"/>
            <w:noWrap/>
            <w:vAlign w:val="bottom"/>
            <w:hideMark/>
          </w:tcPr>
          <w:p w14:paraId="16501F49" w14:textId="77777777" w:rsidR="002B350E" w:rsidRDefault="002B350E" w:rsidP="00AD66E1">
            <w:pPr>
              <w:jc w:val="right"/>
              <w:rPr>
                <w:rFonts w:ascii="Calibri Light" w:hAnsi="Calibri Light" w:cs="Arial"/>
                <w:i/>
                <w:iCs/>
                <w:sz w:val="22"/>
                <w:szCs w:val="22"/>
              </w:rPr>
            </w:pPr>
          </w:p>
        </w:tc>
        <w:tc>
          <w:tcPr>
            <w:tcW w:w="1304" w:type="dxa"/>
            <w:tcBorders>
              <w:top w:val="nil"/>
              <w:left w:val="nil"/>
              <w:bottom w:val="nil"/>
              <w:right w:val="nil"/>
            </w:tcBorders>
            <w:shd w:val="clear" w:color="auto" w:fill="auto"/>
            <w:noWrap/>
            <w:vAlign w:val="bottom"/>
            <w:hideMark/>
          </w:tcPr>
          <w:p w14:paraId="1ACCF22A"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4372E30A" w14:textId="77777777" w:rsidR="002B350E" w:rsidRDefault="002B350E" w:rsidP="00AD66E1">
            <w:pPr>
              <w:jc w:val="right"/>
              <w:rPr>
                <w:sz w:val="20"/>
                <w:szCs w:val="20"/>
              </w:rPr>
            </w:pPr>
          </w:p>
        </w:tc>
        <w:tc>
          <w:tcPr>
            <w:tcW w:w="1229" w:type="dxa"/>
            <w:tcBorders>
              <w:top w:val="nil"/>
              <w:left w:val="nil"/>
              <w:bottom w:val="nil"/>
              <w:right w:val="nil"/>
            </w:tcBorders>
            <w:shd w:val="clear" w:color="auto" w:fill="auto"/>
            <w:noWrap/>
            <w:vAlign w:val="bottom"/>
            <w:hideMark/>
          </w:tcPr>
          <w:p w14:paraId="297CCFCD"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343CA4CB" w14:textId="77777777" w:rsidR="002B350E" w:rsidRDefault="002B350E" w:rsidP="00AD66E1">
            <w:pPr>
              <w:jc w:val="right"/>
              <w:rPr>
                <w:sz w:val="20"/>
                <w:szCs w:val="20"/>
              </w:rPr>
            </w:pPr>
          </w:p>
        </w:tc>
        <w:tc>
          <w:tcPr>
            <w:tcW w:w="1349" w:type="dxa"/>
            <w:tcBorders>
              <w:top w:val="nil"/>
              <w:left w:val="nil"/>
              <w:bottom w:val="nil"/>
              <w:right w:val="nil"/>
            </w:tcBorders>
            <w:shd w:val="clear" w:color="auto" w:fill="auto"/>
            <w:noWrap/>
            <w:vAlign w:val="bottom"/>
            <w:hideMark/>
          </w:tcPr>
          <w:p w14:paraId="158AD7DD"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0A880424" w14:textId="77777777" w:rsidR="002B350E" w:rsidRDefault="002B350E" w:rsidP="00AD66E1">
            <w:pPr>
              <w:jc w:val="right"/>
              <w:rPr>
                <w:sz w:val="20"/>
                <w:szCs w:val="20"/>
              </w:rPr>
            </w:pPr>
          </w:p>
        </w:tc>
        <w:tc>
          <w:tcPr>
            <w:tcW w:w="1293" w:type="dxa"/>
            <w:tcBorders>
              <w:top w:val="nil"/>
              <w:left w:val="nil"/>
              <w:bottom w:val="nil"/>
              <w:right w:val="nil"/>
            </w:tcBorders>
            <w:shd w:val="clear" w:color="auto" w:fill="auto"/>
            <w:noWrap/>
            <w:vAlign w:val="bottom"/>
            <w:hideMark/>
          </w:tcPr>
          <w:p w14:paraId="1F139E2A"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4EA776DE" w14:textId="77777777" w:rsidR="002B350E" w:rsidRDefault="002B350E" w:rsidP="00AD66E1">
            <w:pPr>
              <w:jc w:val="right"/>
              <w:rPr>
                <w:sz w:val="20"/>
                <w:szCs w:val="20"/>
              </w:rPr>
            </w:pPr>
          </w:p>
        </w:tc>
        <w:tc>
          <w:tcPr>
            <w:tcW w:w="1124" w:type="dxa"/>
            <w:tcBorders>
              <w:top w:val="nil"/>
              <w:left w:val="nil"/>
              <w:bottom w:val="nil"/>
              <w:right w:val="nil"/>
            </w:tcBorders>
            <w:shd w:val="clear" w:color="auto" w:fill="auto"/>
            <w:noWrap/>
            <w:vAlign w:val="bottom"/>
            <w:hideMark/>
          </w:tcPr>
          <w:p w14:paraId="0987F2AD"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3F758A06" w14:textId="77777777" w:rsidR="002B350E" w:rsidRDefault="002B350E" w:rsidP="00AD66E1">
            <w:pPr>
              <w:jc w:val="right"/>
              <w:rPr>
                <w:sz w:val="20"/>
                <w:szCs w:val="20"/>
              </w:rPr>
            </w:pPr>
          </w:p>
        </w:tc>
        <w:tc>
          <w:tcPr>
            <w:tcW w:w="1236" w:type="dxa"/>
            <w:tcBorders>
              <w:top w:val="nil"/>
              <w:left w:val="nil"/>
              <w:bottom w:val="nil"/>
              <w:right w:val="nil"/>
            </w:tcBorders>
            <w:shd w:val="clear" w:color="auto" w:fill="auto"/>
            <w:noWrap/>
            <w:vAlign w:val="bottom"/>
            <w:hideMark/>
          </w:tcPr>
          <w:p w14:paraId="1B3CE458" w14:textId="77777777" w:rsidR="002B350E" w:rsidRDefault="002B350E" w:rsidP="00AD66E1">
            <w:pPr>
              <w:jc w:val="right"/>
              <w:rPr>
                <w:sz w:val="20"/>
                <w:szCs w:val="20"/>
              </w:rPr>
            </w:pPr>
          </w:p>
        </w:tc>
        <w:tc>
          <w:tcPr>
            <w:tcW w:w="236" w:type="dxa"/>
            <w:tcBorders>
              <w:top w:val="nil"/>
              <w:left w:val="nil"/>
              <w:bottom w:val="nil"/>
              <w:right w:val="nil"/>
            </w:tcBorders>
            <w:shd w:val="clear" w:color="auto" w:fill="auto"/>
            <w:noWrap/>
            <w:vAlign w:val="bottom"/>
            <w:hideMark/>
          </w:tcPr>
          <w:p w14:paraId="0A10C77C" w14:textId="77777777" w:rsidR="002B350E" w:rsidRDefault="002B350E" w:rsidP="00AD66E1">
            <w:pPr>
              <w:jc w:val="right"/>
              <w:rPr>
                <w:sz w:val="20"/>
                <w:szCs w:val="20"/>
              </w:rPr>
            </w:pPr>
          </w:p>
        </w:tc>
        <w:tc>
          <w:tcPr>
            <w:tcW w:w="1404" w:type="dxa"/>
            <w:tcBorders>
              <w:top w:val="nil"/>
              <w:left w:val="nil"/>
              <w:bottom w:val="nil"/>
              <w:right w:val="nil"/>
            </w:tcBorders>
            <w:shd w:val="clear" w:color="auto" w:fill="auto"/>
            <w:noWrap/>
            <w:vAlign w:val="bottom"/>
            <w:hideMark/>
          </w:tcPr>
          <w:p w14:paraId="40C18669" w14:textId="77777777" w:rsidR="002B350E" w:rsidRDefault="002B350E" w:rsidP="00AD66E1">
            <w:pPr>
              <w:jc w:val="right"/>
              <w:rPr>
                <w:sz w:val="20"/>
                <w:szCs w:val="20"/>
              </w:rPr>
            </w:pPr>
          </w:p>
        </w:tc>
      </w:tr>
      <w:tr w:rsidR="00263AF8" w14:paraId="3578C2BA" w14:textId="77777777" w:rsidTr="00C37A27">
        <w:trPr>
          <w:trHeight w:val="283"/>
        </w:trPr>
        <w:tc>
          <w:tcPr>
            <w:tcW w:w="3481" w:type="dxa"/>
            <w:tcBorders>
              <w:top w:val="nil"/>
              <w:left w:val="nil"/>
              <w:bottom w:val="nil"/>
              <w:right w:val="nil"/>
            </w:tcBorders>
            <w:shd w:val="clear" w:color="auto" w:fill="auto"/>
            <w:noWrap/>
            <w:vAlign w:val="bottom"/>
            <w:hideMark/>
          </w:tcPr>
          <w:p w14:paraId="6492EC38" w14:textId="77777777" w:rsidR="002B350E" w:rsidRDefault="002B350E">
            <w:pPr>
              <w:rPr>
                <w:rFonts w:ascii="Calibri Light" w:hAnsi="Calibri Light" w:cs="Arial"/>
                <w:sz w:val="22"/>
                <w:szCs w:val="22"/>
              </w:rPr>
            </w:pPr>
            <w:r>
              <w:rPr>
                <w:rFonts w:ascii="Calibri Light" w:hAnsi="Calibri Light" w:cs="Arial"/>
                <w:sz w:val="22"/>
                <w:szCs w:val="22"/>
              </w:rPr>
              <w:t>At 1 January 2021</w:t>
            </w:r>
          </w:p>
        </w:tc>
        <w:tc>
          <w:tcPr>
            <w:tcW w:w="236" w:type="dxa"/>
            <w:tcBorders>
              <w:top w:val="nil"/>
              <w:left w:val="nil"/>
              <w:bottom w:val="nil"/>
              <w:right w:val="nil"/>
            </w:tcBorders>
            <w:shd w:val="clear" w:color="auto" w:fill="auto"/>
            <w:noWrap/>
            <w:vAlign w:val="bottom"/>
            <w:hideMark/>
          </w:tcPr>
          <w:p w14:paraId="737CF9BB"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1C856F86" w14:textId="172AC520"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    7,035,589 </w:t>
            </w:r>
          </w:p>
        </w:tc>
        <w:tc>
          <w:tcPr>
            <w:tcW w:w="236" w:type="dxa"/>
            <w:tcBorders>
              <w:top w:val="nil"/>
              <w:left w:val="nil"/>
              <w:bottom w:val="nil"/>
              <w:right w:val="nil"/>
            </w:tcBorders>
            <w:shd w:val="clear" w:color="auto" w:fill="auto"/>
            <w:noWrap/>
            <w:vAlign w:val="bottom"/>
            <w:hideMark/>
          </w:tcPr>
          <w:p w14:paraId="4614336F" w14:textId="77777777" w:rsidR="002B350E" w:rsidRDefault="002B350E" w:rsidP="00DC2774">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1005F54E" w14:textId="5F44A5D7"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10,185,819 </w:t>
            </w:r>
          </w:p>
        </w:tc>
        <w:tc>
          <w:tcPr>
            <w:tcW w:w="236" w:type="dxa"/>
            <w:tcBorders>
              <w:top w:val="nil"/>
              <w:left w:val="nil"/>
              <w:bottom w:val="nil"/>
              <w:right w:val="nil"/>
            </w:tcBorders>
            <w:shd w:val="clear" w:color="auto" w:fill="auto"/>
            <w:noWrap/>
            <w:vAlign w:val="bottom"/>
            <w:hideMark/>
          </w:tcPr>
          <w:p w14:paraId="4FA06BDB" w14:textId="77777777" w:rsidR="002B350E" w:rsidRDefault="002B350E" w:rsidP="00DC2774">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58568514" w14:textId="77777777" w:rsidR="002B350E" w:rsidRDefault="002B350E" w:rsidP="00DC2774">
            <w:pPr>
              <w:ind w:right="-57"/>
              <w:jc w:val="right"/>
              <w:rPr>
                <w:rFonts w:ascii="Calibri Light" w:hAnsi="Calibri Light" w:cs="Arial"/>
                <w:sz w:val="22"/>
                <w:szCs w:val="22"/>
              </w:rPr>
            </w:pPr>
            <w:r>
              <w:rPr>
                <w:rFonts w:ascii="Calibri Light" w:hAnsi="Calibri Light" w:cs="Arial"/>
                <w:color w:val="FF0000"/>
                <w:sz w:val="22"/>
                <w:szCs w:val="22"/>
              </w:rPr>
              <w:t>(14,965,030)</w:t>
            </w:r>
          </w:p>
        </w:tc>
        <w:tc>
          <w:tcPr>
            <w:tcW w:w="236" w:type="dxa"/>
            <w:tcBorders>
              <w:top w:val="nil"/>
              <w:left w:val="nil"/>
              <w:bottom w:val="nil"/>
              <w:right w:val="nil"/>
            </w:tcBorders>
            <w:shd w:val="clear" w:color="auto" w:fill="auto"/>
            <w:noWrap/>
            <w:vAlign w:val="bottom"/>
            <w:hideMark/>
          </w:tcPr>
          <w:p w14:paraId="0A3C25EA" w14:textId="77777777" w:rsidR="002B350E" w:rsidRDefault="002B350E" w:rsidP="00DC2774">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408726B9" w14:textId="292B468D"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1BE56133" w14:textId="77777777" w:rsidR="002B350E" w:rsidRDefault="002B350E" w:rsidP="00DC2774">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49CE9AC6" w14:textId="041AE757"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16146F14" w14:textId="77777777" w:rsidR="002B350E" w:rsidRDefault="002B350E" w:rsidP="00DC2774">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28F6213E" w14:textId="3ED5632D"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5660C3D" w14:textId="77777777" w:rsidR="002B350E" w:rsidRDefault="002B350E" w:rsidP="00DC2774">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36F022EE" w14:textId="77777777" w:rsidR="002B350E" w:rsidRDefault="002B350E" w:rsidP="00DC2774">
            <w:pPr>
              <w:jc w:val="right"/>
              <w:rPr>
                <w:rFonts w:ascii="Calibri Light" w:hAnsi="Calibri Light" w:cs="Arial"/>
                <w:sz w:val="22"/>
                <w:szCs w:val="22"/>
              </w:rPr>
            </w:pPr>
            <w:r>
              <w:rPr>
                <w:rFonts w:ascii="Calibri Light" w:hAnsi="Calibri Light" w:cs="Arial"/>
                <w:sz w:val="22"/>
                <w:szCs w:val="22"/>
              </w:rPr>
              <w:t xml:space="preserve">     4,716,378 </w:t>
            </w:r>
          </w:p>
        </w:tc>
      </w:tr>
      <w:tr w:rsidR="00263AF8" w14:paraId="1826B848" w14:textId="77777777" w:rsidTr="00C37A27">
        <w:trPr>
          <w:trHeight w:val="283"/>
        </w:trPr>
        <w:tc>
          <w:tcPr>
            <w:tcW w:w="3481" w:type="dxa"/>
            <w:tcBorders>
              <w:top w:val="nil"/>
              <w:left w:val="nil"/>
              <w:bottom w:val="nil"/>
              <w:right w:val="nil"/>
            </w:tcBorders>
            <w:shd w:val="clear" w:color="auto" w:fill="auto"/>
            <w:noWrap/>
            <w:vAlign w:val="bottom"/>
            <w:hideMark/>
          </w:tcPr>
          <w:p w14:paraId="74D3313C" w14:textId="77777777" w:rsidR="002B350E" w:rsidRDefault="002B350E">
            <w:pPr>
              <w:rPr>
                <w:rFonts w:ascii="Calibri Light" w:hAnsi="Calibri Light" w:cs="Arial"/>
                <w:sz w:val="22"/>
                <w:szCs w:val="22"/>
              </w:rPr>
            </w:pPr>
            <w:r>
              <w:rPr>
                <w:rFonts w:ascii="Calibri Light" w:hAnsi="Calibri Light" w:cs="Arial"/>
                <w:sz w:val="22"/>
                <w:szCs w:val="22"/>
              </w:rPr>
              <w:t>Total comprehensive income for the period</w:t>
            </w:r>
          </w:p>
        </w:tc>
        <w:tc>
          <w:tcPr>
            <w:tcW w:w="236" w:type="dxa"/>
            <w:tcBorders>
              <w:top w:val="nil"/>
              <w:left w:val="nil"/>
              <w:bottom w:val="nil"/>
              <w:right w:val="nil"/>
            </w:tcBorders>
            <w:shd w:val="clear" w:color="auto" w:fill="auto"/>
            <w:noWrap/>
            <w:vAlign w:val="bottom"/>
            <w:hideMark/>
          </w:tcPr>
          <w:p w14:paraId="6514B891"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66F9708F"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A600EA5" w14:textId="77777777" w:rsidR="002B350E" w:rsidRDefault="002B350E" w:rsidP="00E86DB7">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221E8A9D"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8B86522" w14:textId="77777777" w:rsidR="002B350E" w:rsidRDefault="002B350E" w:rsidP="00E86D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250C7064"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129,356</w:t>
            </w:r>
          </w:p>
        </w:tc>
        <w:tc>
          <w:tcPr>
            <w:tcW w:w="236" w:type="dxa"/>
            <w:tcBorders>
              <w:top w:val="nil"/>
              <w:left w:val="nil"/>
              <w:bottom w:val="nil"/>
              <w:right w:val="nil"/>
            </w:tcBorders>
            <w:shd w:val="clear" w:color="auto" w:fill="auto"/>
            <w:noWrap/>
            <w:vAlign w:val="bottom"/>
            <w:hideMark/>
          </w:tcPr>
          <w:p w14:paraId="69407827" w14:textId="77777777" w:rsidR="002B350E" w:rsidRDefault="002B350E" w:rsidP="00E86DB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694E697A"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0314A16" w14:textId="77777777" w:rsidR="002B350E" w:rsidRDefault="002B350E" w:rsidP="00E86DB7">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7DF3DC85"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F5FD2CE" w14:textId="77777777" w:rsidR="002B350E" w:rsidRDefault="002B350E" w:rsidP="00E86DB7">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6A26EDB1"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2799CBA" w14:textId="77777777" w:rsidR="002B350E" w:rsidRDefault="002B350E" w:rsidP="00E86DB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3E7E8E52"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129,356 </w:t>
            </w:r>
          </w:p>
        </w:tc>
      </w:tr>
      <w:tr w:rsidR="00263AF8" w14:paraId="3BFBF947" w14:textId="77777777" w:rsidTr="00C37A27">
        <w:trPr>
          <w:trHeight w:val="283"/>
        </w:trPr>
        <w:tc>
          <w:tcPr>
            <w:tcW w:w="3481" w:type="dxa"/>
            <w:tcBorders>
              <w:top w:val="nil"/>
              <w:left w:val="nil"/>
              <w:bottom w:val="nil"/>
              <w:right w:val="nil"/>
            </w:tcBorders>
            <w:shd w:val="clear" w:color="auto" w:fill="auto"/>
            <w:noWrap/>
            <w:vAlign w:val="bottom"/>
            <w:hideMark/>
          </w:tcPr>
          <w:p w14:paraId="2078697E" w14:textId="77777777" w:rsidR="002B350E" w:rsidRDefault="002B350E">
            <w:pPr>
              <w:rPr>
                <w:rFonts w:ascii="Calibri Light" w:hAnsi="Calibri Light" w:cs="Arial"/>
                <w:sz w:val="22"/>
                <w:szCs w:val="22"/>
              </w:rPr>
            </w:pPr>
            <w:r>
              <w:rPr>
                <w:rFonts w:ascii="Calibri Light" w:hAnsi="Calibri Light" w:cs="Arial"/>
                <w:sz w:val="22"/>
                <w:szCs w:val="22"/>
              </w:rPr>
              <w:t>Issue of shares</w:t>
            </w:r>
          </w:p>
        </w:tc>
        <w:tc>
          <w:tcPr>
            <w:tcW w:w="236" w:type="dxa"/>
            <w:tcBorders>
              <w:top w:val="nil"/>
              <w:left w:val="nil"/>
              <w:bottom w:val="nil"/>
              <w:right w:val="nil"/>
            </w:tcBorders>
            <w:shd w:val="clear" w:color="auto" w:fill="auto"/>
            <w:noWrap/>
            <w:vAlign w:val="bottom"/>
            <w:hideMark/>
          </w:tcPr>
          <w:p w14:paraId="4673B741"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604A0018" w14:textId="7A8A5580"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50,000 </w:t>
            </w:r>
          </w:p>
        </w:tc>
        <w:tc>
          <w:tcPr>
            <w:tcW w:w="236" w:type="dxa"/>
            <w:tcBorders>
              <w:top w:val="nil"/>
              <w:left w:val="nil"/>
              <w:bottom w:val="nil"/>
              <w:right w:val="nil"/>
            </w:tcBorders>
            <w:shd w:val="clear" w:color="auto" w:fill="auto"/>
            <w:noWrap/>
            <w:vAlign w:val="bottom"/>
            <w:hideMark/>
          </w:tcPr>
          <w:p w14:paraId="11F27D80" w14:textId="77777777" w:rsidR="002B350E" w:rsidRDefault="002B350E" w:rsidP="00E86DB7">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1EC556BE" w14:textId="1CD6DFF2"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700,000 </w:t>
            </w:r>
          </w:p>
        </w:tc>
        <w:tc>
          <w:tcPr>
            <w:tcW w:w="236" w:type="dxa"/>
            <w:tcBorders>
              <w:top w:val="nil"/>
              <w:left w:val="nil"/>
              <w:bottom w:val="nil"/>
              <w:right w:val="nil"/>
            </w:tcBorders>
            <w:shd w:val="clear" w:color="auto" w:fill="auto"/>
            <w:noWrap/>
            <w:vAlign w:val="bottom"/>
            <w:hideMark/>
          </w:tcPr>
          <w:p w14:paraId="139D7631" w14:textId="77777777" w:rsidR="002B350E" w:rsidRDefault="002B350E" w:rsidP="00E86DB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1ACBEE00" w14:textId="624A14C6"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C763252" w14:textId="77777777" w:rsidR="002B350E" w:rsidRDefault="002B350E" w:rsidP="00E86DB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7D752FBA" w14:textId="6DB476D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3B4FEC4" w14:textId="77777777" w:rsidR="002B350E" w:rsidRDefault="002B350E" w:rsidP="00E86DB7">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219E52FD" w14:textId="2693694F"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1E266B6" w14:textId="77777777" w:rsidR="002B350E" w:rsidRDefault="002B350E" w:rsidP="00E86DB7">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758B33CC" w14:textId="6D05252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84F1796" w14:textId="77777777" w:rsidR="002B350E" w:rsidRDefault="002B350E" w:rsidP="00E86DB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0D48C6B6" w14:textId="77777777" w:rsidR="002B350E" w:rsidRDefault="002B350E" w:rsidP="00E86DB7">
            <w:pPr>
              <w:jc w:val="right"/>
              <w:rPr>
                <w:rFonts w:ascii="Calibri Light" w:hAnsi="Calibri Light" w:cs="Arial"/>
                <w:sz w:val="22"/>
                <w:szCs w:val="22"/>
              </w:rPr>
            </w:pPr>
            <w:r>
              <w:rPr>
                <w:rFonts w:ascii="Calibri Light" w:hAnsi="Calibri Light" w:cs="Arial"/>
                <w:sz w:val="22"/>
                <w:szCs w:val="22"/>
              </w:rPr>
              <w:t xml:space="preserve">         750,000 </w:t>
            </w:r>
          </w:p>
        </w:tc>
      </w:tr>
      <w:tr w:rsidR="00263AF8" w14:paraId="64762AF2" w14:textId="77777777" w:rsidTr="00C37A27">
        <w:trPr>
          <w:trHeight w:val="283"/>
        </w:trPr>
        <w:tc>
          <w:tcPr>
            <w:tcW w:w="3481" w:type="dxa"/>
            <w:tcBorders>
              <w:top w:val="nil"/>
              <w:left w:val="nil"/>
              <w:bottom w:val="nil"/>
              <w:right w:val="nil"/>
            </w:tcBorders>
            <w:shd w:val="clear" w:color="auto" w:fill="auto"/>
            <w:noWrap/>
            <w:vAlign w:val="bottom"/>
            <w:hideMark/>
          </w:tcPr>
          <w:p w14:paraId="4C96E55F" w14:textId="77777777" w:rsidR="002B350E" w:rsidRDefault="002B350E">
            <w:pPr>
              <w:rPr>
                <w:rFonts w:ascii="Calibri Light" w:hAnsi="Calibri Light" w:cs="Arial"/>
                <w:sz w:val="22"/>
                <w:szCs w:val="22"/>
              </w:rPr>
            </w:pPr>
            <w:r>
              <w:rPr>
                <w:rFonts w:ascii="Calibri Light" w:hAnsi="Calibri Light" w:cs="Arial"/>
                <w:sz w:val="22"/>
                <w:szCs w:val="22"/>
              </w:rPr>
              <w:t>Costs in respect of shares issued</w:t>
            </w:r>
          </w:p>
        </w:tc>
        <w:tc>
          <w:tcPr>
            <w:tcW w:w="236" w:type="dxa"/>
            <w:tcBorders>
              <w:top w:val="nil"/>
              <w:left w:val="nil"/>
              <w:bottom w:val="nil"/>
              <w:right w:val="nil"/>
            </w:tcBorders>
            <w:shd w:val="clear" w:color="auto" w:fill="auto"/>
            <w:noWrap/>
            <w:vAlign w:val="bottom"/>
            <w:hideMark/>
          </w:tcPr>
          <w:p w14:paraId="53EA396A"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5BA9716C" w14:textId="79F7E0D1" w:rsidR="002B350E" w:rsidRDefault="002B350E" w:rsidP="00CA2CED">
            <w:pPr>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E7114E1" w14:textId="77777777" w:rsidR="002B350E" w:rsidRDefault="002B350E" w:rsidP="00DC2774">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233AAAA5" w14:textId="77777777" w:rsidR="002B350E" w:rsidRDefault="002B350E" w:rsidP="00CA2CED">
            <w:pPr>
              <w:ind w:right="-57"/>
              <w:jc w:val="right"/>
              <w:rPr>
                <w:rFonts w:ascii="Calibri Light" w:hAnsi="Calibri Light" w:cs="Arial"/>
                <w:sz w:val="22"/>
                <w:szCs w:val="22"/>
              </w:rPr>
            </w:pPr>
            <w:r>
              <w:rPr>
                <w:rFonts w:ascii="Calibri Light" w:hAnsi="Calibri Light" w:cs="Arial"/>
                <w:color w:val="FF0000"/>
                <w:sz w:val="22"/>
                <w:szCs w:val="22"/>
              </w:rPr>
              <w:t>(54,900)</w:t>
            </w:r>
          </w:p>
        </w:tc>
        <w:tc>
          <w:tcPr>
            <w:tcW w:w="236" w:type="dxa"/>
            <w:tcBorders>
              <w:top w:val="nil"/>
              <w:left w:val="nil"/>
              <w:bottom w:val="nil"/>
              <w:right w:val="nil"/>
            </w:tcBorders>
            <w:shd w:val="clear" w:color="auto" w:fill="auto"/>
            <w:noWrap/>
            <w:vAlign w:val="bottom"/>
            <w:hideMark/>
          </w:tcPr>
          <w:p w14:paraId="1CB14A8B" w14:textId="77777777" w:rsidR="002B350E" w:rsidRDefault="002B350E" w:rsidP="00DC2774">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58857EBA" w14:textId="03E9D0B1"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45B834F" w14:textId="77777777" w:rsidR="002B350E" w:rsidRDefault="002B350E" w:rsidP="00D95759">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15C92A18" w14:textId="29623106"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1609DA1" w14:textId="77777777" w:rsidR="002B350E" w:rsidRDefault="002B350E" w:rsidP="00D95759">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528C0B32" w14:textId="2D1FA8B8"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196519B" w14:textId="77777777" w:rsidR="002B350E" w:rsidRDefault="002B350E" w:rsidP="00D95759">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5EC59C58" w14:textId="750BC64C"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E0BD188" w14:textId="77777777" w:rsidR="002B350E" w:rsidRDefault="002B350E" w:rsidP="00DC2774">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06722806" w14:textId="77777777" w:rsidR="002B350E" w:rsidRDefault="002B350E" w:rsidP="00D95759">
            <w:pPr>
              <w:ind w:right="-57"/>
              <w:jc w:val="right"/>
              <w:rPr>
                <w:rFonts w:ascii="Calibri Light" w:hAnsi="Calibri Light" w:cs="Arial"/>
                <w:sz w:val="22"/>
                <w:szCs w:val="22"/>
              </w:rPr>
            </w:pPr>
            <w:r>
              <w:rPr>
                <w:rFonts w:ascii="Calibri Light" w:hAnsi="Calibri Light" w:cs="Arial"/>
                <w:color w:val="FF0000"/>
                <w:sz w:val="22"/>
                <w:szCs w:val="22"/>
              </w:rPr>
              <w:t>(54,900)</w:t>
            </w:r>
          </w:p>
        </w:tc>
      </w:tr>
      <w:tr w:rsidR="00263AF8" w14:paraId="1328DFF8" w14:textId="77777777" w:rsidTr="00C37A27">
        <w:trPr>
          <w:trHeight w:val="283"/>
        </w:trPr>
        <w:tc>
          <w:tcPr>
            <w:tcW w:w="3481" w:type="dxa"/>
            <w:tcBorders>
              <w:top w:val="nil"/>
              <w:left w:val="nil"/>
              <w:bottom w:val="nil"/>
              <w:right w:val="nil"/>
            </w:tcBorders>
            <w:shd w:val="clear" w:color="auto" w:fill="auto"/>
            <w:noWrap/>
            <w:vAlign w:val="bottom"/>
            <w:hideMark/>
          </w:tcPr>
          <w:p w14:paraId="245A6BAB" w14:textId="05DB1D31" w:rsidR="002B350E" w:rsidRDefault="002B350E">
            <w:pPr>
              <w:rPr>
                <w:rFonts w:ascii="Calibri Light" w:hAnsi="Calibri Light" w:cs="Arial"/>
                <w:sz w:val="22"/>
                <w:szCs w:val="22"/>
              </w:rPr>
            </w:pPr>
            <w:r>
              <w:rPr>
                <w:rFonts w:ascii="Calibri Light" w:hAnsi="Calibri Light" w:cs="Arial"/>
                <w:sz w:val="22"/>
                <w:szCs w:val="22"/>
              </w:rPr>
              <w:t>Equity settled share</w:t>
            </w:r>
            <w:r w:rsidR="00CA2CED">
              <w:rPr>
                <w:rFonts w:ascii="Calibri Light" w:hAnsi="Calibri Light" w:cs="Arial"/>
                <w:sz w:val="22"/>
                <w:szCs w:val="22"/>
              </w:rPr>
              <w:t>-</w:t>
            </w:r>
            <w:r>
              <w:rPr>
                <w:rFonts w:ascii="Calibri Light" w:hAnsi="Calibri Light" w:cs="Arial"/>
                <w:sz w:val="22"/>
                <w:szCs w:val="22"/>
              </w:rPr>
              <w:t>based payment</w:t>
            </w:r>
          </w:p>
        </w:tc>
        <w:tc>
          <w:tcPr>
            <w:tcW w:w="236" w:type="dxa"/>
            <w:tcBorders>
              <w:top w:val="nil"/>
              <w:left w:val="nil"/>
              <w:bottom w:val="nil"/>
              <w:right w:val="nil"/>
            </w:tcBorders>
            <w:shd w:val="clear" w:color="auto" w:fill="auto"/>
            <w:noWrap/>
            <w:vAlign w:val="bottom"/>
            <w:hideMark/>
          </w:tcPr>
          <w:p w14:paraId="3BE14C39"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4D35FD06" w14:textId="4B21463D"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B38B29C" w14:textId="77777777" w:rsidR="002B350E" w:rsidRDefault="002B350E" w:rsidP="00482639">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3928E5EF" w14:textId="1767F484"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24,497 </w:t>
            </w:r>
          </w:p>
        </w:tc>
        <w:tc>
          <w:tcPr>
            <w:tcW w:w="236" w:type="dxa"/>
            <w:tcBorders>
              <w:top w:val="nil"/>
              <w:left w:val="nil"/>
              <w:bottom w:val="nil"/>
              <w:right w:val="nil"/>
            </w:tcBorders>
            <w:shd w:val="clear" w:color="auto" w:fill="auto"/>
            <w:noWrap/>
            <w:vAlign w:val="bottom"/>
            <w:hideMark/>
          </w:tcPr>
          <w:p w14:paraId="7109E4CD" w14:textId="77777777" w:rsidR="002B350E" w:rsidRDefault="002B350E" w:rsidP="00482639">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239B8AA7" w14:textId="29034CF9"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122FE03" w14:textId="77777777" w:rsidR="002B350E" w:rsidRDefault="002B350E" w:rsidP="00482639">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56778EA8" w14:textId="5A861D58"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3A8AD81" w14:textId="77777777" w:rsidR="002B350E" w:rsidRDefault="002B350E" w:rsidP="00482639">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39150BF9" w14:textId="7EAFC598"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7792EB0" w14:textId="77777777" w:rsidR="002B350E" w:rsidRDefault="002B350E" w:rsidP="00482639">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7F0110F7" w14:textId="01D260D7"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6F4DDD2" w14:textId="77777777" w:rsidR="002B350E" w:rsidRDefault="002B350E" w:rsidP="00482639">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5AEEB880" w14:textId="57F47F60" w:rsidR="002B350E" w:rsidRDefault="002B350E" w:rsidP="00482639">
            <w:pPr>
              <w:jc w:val="right"/>
              <w:rPr>
                <w:rFonts w:ascii="Calibri Light" w:hAnsi="Calibri Light" w:cs="Arial"/>
                <w:sz w:val="22"/>
                <w:szCs w:val="22"/>
              </w:rPr>
            </w:pPr>
            <w:r>
              <w:rPr>
                <w:rFonts w:ascii="Calibri Light" w:hAnsi="Calibri Light" w:cs="Arial"/>
                <w:sz w:val="22"/>
                <w:szCs w:val="22"/>
              </w:rPr>
              <w:t xml:space="preserve">        24,497 </w:t>
            </w:r>
          </w:p>
        </w:tc>
      </w:tr>
      <w:tr w:rsidR="00263AF8" w14:paraId="0C926085" w14:textId="77777777" w:rsidTr="00C37A27">
        <w:trPr>
          <w:trHeight w:val="283"/>
        </w:trPr>
        <w:tc>
          <w:tcPr>
            <w:tcW w:w="3481" w:type="dxa"/>
            <w:tcBorders>
              <w:top w:val="nil"/>
              <w:left w:val="nil"/>
              <w:bottom w:val="nil"/>
              <w:right w:val="nil"/>
            </w:tcBorders>
            <w:shd w:val="clear" w:color="auto" w:fill="auto"/>
            <w:noWrap/>
            <w:vAlign w:val="bottom"/>
            <w:hideMark/>
          </w:tcPr>
          <w:p w14:paraId="2224DBED" w14:textId="77777777" w:rsidR="002B350E" w:rsidRDefault="002B350E">
            <w:pPr>
              <w:rPr>
                <w:rFonts w:ascii="Calibri Light" w:hAnsi="Calibri Light" w:cs="Arial"/>
                <w:b/>
                <w:bCs/>
                <w:sz w:val="22"/>
                <w:szCs w:val="22"/>
              </w:rPr>
            </w:pPr>
            <w:r>
              <w:rPr>
                <w:rFonts w:ascii="Calibri Light" w:hAnsi="Calibri Light" w:cs="Arial"/>
                <w:b/>
                <w:bCs/>
                <w:sz w:val="22"/>
                <w:szCs w:val="22"/>
              </w:rPr>
              <w:t>At 30 June 2021</w:t>
            </w:r>
          </w:p>
        </w:tc>
        <w:tc>
          <w:tcPr>
            <w:tcW w:w="236" w:type="dxa"/>
            <w:tcBorders>
              <w:top w:val="nil"/>
              <w:left w:val="nil"/>
              <w:bottom w:val="nil"/>
              <w:right w:val="nil"/>
            </w:tcBorders>
            <w:shd w:val="clear" w:color="auto" w:fill="auto"/>
            <w:noWrap/>
            <w:vAlign w:val="bottom"/>
            <w:hideMark/>
          </w:tcPr>
          <w:p w14:paraId="7B15DABA" w14:textId="77777777" w:rsidR="002B350E" w:rsidRDefault="002B350E">
            <w:pPr>
              <w:rPr>
                <w:rFonts w:ascii="Calibri Light" w:hAnsi="Calibri Light" w:cs="Arial"/>
                <w:b/>
                <w:bCs/>
                <w:sz w:val="22"/>
                <w:szCs w:val="22"/>
              </w:rPr>
            </w:pPr>
          </w:p>
        </w:tc>
        <w:tc>
          <w:tcPr>
            <w:tcW w:w="1304" w:type="dxa"/>
            <w:tcBorders>
              <w:top w:val="single" w:sz="4" w:space="0" w:color="auto"/>
              <w:left w:val="nil"/>
              <w:bottom w:val="double" w:sz="6" w:space="0" w:color="auto"/>
              <w:right w:val="nil"/>
            </w:tcBorders>
            <w:shd w:val="clear" w:color="auto" w:fill="auto"/>
            <w:noWrap/>
            <w:vAlign w:val="bottom"/>
            <w:hideMark/>
          </w:tcPr>
          <w:p w14:paraId="1075044A" w14:textId="35FB22ED"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7,085,589 </w:t>
            </w:r>
          </w:p>
        </w:tc>
        <w:tc>
          <w:tcPr>
            <w:tcW w:w="236" w:type="dxa"/>
            <w:tcBorders>
              <w:top w:val="nil"/>
              <w:left w:val="nil"/>
              <w:bottom w:val="nil"/>
              <w:right w:val="nil"/>
            </w:tcBorders>
            <w:shd w:val="clear" w:color="auto" w:fill="auto"/>
            <w:noWrap/>
            <w:vAlign w:val="bottom"/>
            <w:hideMark/>
          </w:tcPr>
          <w:p w14:paraId="743241F4" w14:textId="77777777" w:rsidR="002B350E" w:rsidRDefault="002B350E" w:rsidP="00D95759">
            <w:pPr>
              <w:jc w:val="right"/>
              <w:rPr>
                <w:rFonts w:ascii="Calibri Light" w:hAnsi="Calibri Light" w:cs="Arial"/>
                <w:sz w:val="22"/>
                <w:szCs w:val="22"/>
              </w:rPr>
            </w:pPr>
          </w:p>
        </w:tc>
        <w:tc>
          <w:tcPr>
            <w:tcW w:w="1229" w:type="dxa"/>
            <w:tcBorders>
              <w:top w:val="single" w:sz="4" w:space="0" w:color="auto"/>
              <w:left w:val="nil"/>
              <w:bottom w:val="double" w:sz="6" w:space="0" w:color="auto"/>
              <w:right w:val="nil"/>
            </w:tcBorders>
            <w:shd w:val="clear" w:color="auto" w:fill="auto"/>
            <w:noWrap/>
            <w:vAlign w:val="bottom"/>
            <w:hideMark/>
          </w:tcPr>
          <w:p w14:paraId="47191AE3" w14:textId="0034CACD"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10,855,416 </w:t>
            </w:r>
          </w:p>
        </w:tc>
        <w:tc>
          <w:tcPr>
            <w:tcW w:w="236" w:type="dxa"/>
            <w:tcBorders>
              <w:top w:val="nil"/>
              <w:left w:val="nil"/>
              <w:bottom w:val="nil"/>
              <w:right w:val="nil"/>
            </w:tcBorders>
            <w:shd w:val="clear" w:color="auto" w:fill="auto"/>
            <w:noWrap/>
            <w:vAlign w:val="bottom"/>
            <w:hideMark/>
          </w:tcPr>
          <w:p w14:paraId="29294A03" w14:textId="77777777" w:rsidR="002B350E" w:rsidRDefault="002B350E" w:rsidP="00DC2774">
            <w:pPr>
              <w:jc w:val="right"/>
              <w:rPr>
                <w:rFonts w:ascii="Calibri Light" w:hAnsi="Calibri Light" w:cs="Arial"/>
                <w:sz w:val="22"/>
                <w:szCs w:val="22"/>
              </w:rPr>
            </w:pPr>
          </w:p>
        </w:tc>
        <w:tc>
          <w:tcPr>
            <w:tcW w:w="1349" w:type="dxa"/>
            <w:tcBorders>
              <w:top w:val="single" w:sz="4" w:space="0" w:color="auto"/>
              <w:left w:val="nil"/>
              <w:bottom w:val="double" w:sz="6" w:space="0" w:color="auto"/>
              <w:right w:val="nil"/>
            </w:tcBorders>
            <w:shd w:val="clear" w:color="auto" w:fill="auto"/>
            <w:noWrap/>
            <w:vAlign w:val="bottom"/>
            <w:hideMark/>
          </w:tcPr>
          <w:p w14:paraId="30091CDF" w14:textId="77777777" w:rsidR="002B350E" w:rsidRDefault="002B350E" w:rsidP="00482639">
            <w:pPr>
              <w:ind w:right="-57"/>
              <w:jc w:val="right"/>
              <w:rPr>
                <w:rFonts w:ascii="Calibri Light" w:hAnsi="Calibri Light" w:cs="Arial"/>
                <w:sz w:val="22"/>
                <w:szCs w:val="22"/>
              </w:rPr>
            </w:pPr>
            <w:r>
              <w:rPr>
                <w:rFonts w:ascii="Calibri Light" w:hAnsi="Calibri Light" w:cs="Arial"/>
                <w:color w:val="FF0000"/>
                <w:sz w:val="22"/>
                <w:szCs w:val="22"/>
              </w:rPr>
              <w:t>(14,835,674)</w:t>
            </w:r>
          </w:p>
        </w:tc>
        <w:tc>
          <w:tcPr>
            <w:tcW w:w="236" w:type="dxa"/>
            <w:tcBorders>
              <w:top w:val="nil"/>
              <w:left w:val="nil"/>
              <w:bottom w:val="nil"/>
              <w:right w:val="nil"/>
            </w:tcBorders>
            <w:shd w:val="clear" w:color="auto" w:fill="auto"/>
            <w:noWrap/>
            <w:vAlign w:val="bottom"/>
            <w:hideMark/>
          </w:tcPr>
          <w:p w14:paraId="68A5714C" w14:textId="77777777" w:rsidR="002B350E" w:rsidRDefault="002B350E" w:rsidP="00DC2774">
            <w:pPr>
              <w:jc w:val="right"/>
              <w:rPr>
                <w:rFonts w:ascii="Calibri Light" w:hAnsi="Calibri Light" w:cs="Arial"/>
                <w:sz w:val="22"/>
                <w:szCs w:val="22"/>
              </w:rPr>
            </w:pPr>
          </w:p>
        </w:tc>
        <w:tc>
          <w:tcPr>
            <w:tcW w:w="1293" w:type="dxa"/>
            <w:tcBorders>
              <w:top w:val="single" w:sz="4" w:space="0" w:color="auto"/>
              <w:left w:val="nil"/>
              <w:bottom w:val="double" w:sz="6" w:space="0" w:color="auto"/>
              <w:right w:val="nil"/>
            </w:tcBorders>
            <w:shd w:val="clear" w:color="auto" w:fill="auto"/>
            <w:noWrap/>
            <w:vAlign w:val="bottom"/>
            <w:hideMark/>
          </w:tcPr>
          <w:p w14:paraId="2DF86C18" w14:textId="17D0BED3"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2E579562" w14:textId="77777777" w:rsidR="002B350E" w:rsidRDefault="002B350E" w:rsidP="00D95759">
            <w:pPr>
              <w:jc w:val="right"/>
              <w:rPr>
                <w:rFonts w:ascii="Calibri Light" w:hAnsi="Calibri Light" w:cs="Arial"/>
                <w:sz w:val="22"/>
                <w:szCs w:val="22"/>
              </w:rPr>
            </w:pPr>
          </w:p>
        </w:tc>
        <w:tc>
          <w:tcPr>
            <w:tcW w:w="1124" w:type="dxa"/>
            <w:tcBorders>
              <w:top w:val="single" w:sz="4" w:space="0" w:color="auto"/>
              <w:left w:val="nil"/>
              <w:bottom w:val="double" w:sz="6" w:space="0" w:color="auto"/>
              <w:right w:val="nil"/>
            </w:tcBorders>
            <w:shd w:val="clear" w:color="auto" w:fill="auto"/>
            <w:noWrap/>
            <w:vAlign w:val="bottom"/>
            <w:hideMark/>
          </w:tcPr>
          <w:p w14:paraId="710AA112" w14:textId="049D3C4D"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3FD232E4" w14:textId="77777777" w:rsidR="002B350E" w:rsidRDefault="002B350E" w:rsidP="00D95759">
            <w:pPr>
              <w:jc w:val="right"/>
              <w:rPr>
                <w:rFonts w:ascii="Calibri Light" w:hAnsi="Calibri Light" w:cs="Arial"/>
                <w:sz w:val="22"/>
                <w:szCs w:val="22"/>
              </w:rPr>
            </w:pPr>
          </w:p>
        </w:tc>
        <w:tc>
          <w:tcPr>
            <w:tcW w:w="1236" w:type="dxa"/>
            <w:tcBorders>
              <w:top w:val="single" w:sz="4" w:space="0" w:color="auto"/>
              <w:left w:val="nil"/>
              <w:bottom w:val="double" w:sz="6" w:space="0" w:color="auto"/>
              <w:right w:val="nil"/>
            </w:tcBorders>
            <w:shd w:val="clear" w:color="auto" w:fill="auto"/>
            <w:noWrap/>
            <w:vAlign w:val="bottom"/>
            <w:hideMark/>
          </w:tcPr>
          <w:p w14:paraId="7DF71856" w14:textId="35A537F8"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B6D8E56" w14:textId="77777777" w:rsidR="002B350E" w:rsidRDefault="002B350E" w:rsidP="00D95759">
            <w:pPr>
              <w:jc w:val="right"/>
              <w:rPr>
                <w:rFonts w:ascii="Calibri Light" w:hAnsi="Calibri Light" w:cs="Arial"/>
                <w:sz w:val="22"/>
                <w:szCs w:val="22"/>
              </w:rPr>
            </w:pPr>
          </w:p>
        </w:tc>
        <w:tc>
          <w:tcPr>
            <w:tcW w:w="1404" w:type="dxa"/>
            <w:tcBorders>
              <w:top w:val="single" w:sz="4" w:space="0" w:color="auto"/>
              <w:left w:val="nil"/>
              <w:bottom w:val="double" w:sz="6" w:space="0" w:color="auto"/>
              <w:right w:val="nil"/>
            </w:tcBorders>
            <w:shd w:val="clear" w:color="auto" w:fill="auto"/>
            <w:noWrap/>
            <w:vAlign w:val="bottom"/>
            <w:hideMark/>
          </w:tcPr>
          <w:p w14:paraId="04FA2CB9" w14:textId="77777777" w:rsidR="002B350E" w:rsidRDefault="002B350E" w:rsidP="00D95759">
            <w:pPr>
              <w:jc w:val="right"/>
              <w:rPr>
                <w:rFonts w:ascii="Calibri Light" w:hAnsi="Calibri Light" w:cs="Arial"/>
                <w:sz w:val="22"/>
                <w:szCs w:val="22"/>
              </w:rPr>
            </w:pPr>
            <w:r>
              <w:rPr>
                <w:rFonts w:ascii="Calibri Light" w:hAnsi="Calibri Light" w:cs="Arial"/>
                <w:sz w:val="22"/>
                <w:szCs w:val="22"/>
              </w:rPr>
              <w:t xml:space="preserve">     5,565,331 </w:t>
            </w:r>
          </w:p>
        </w:tc>
      </w:tr>
      <w:tr w:rsidR="00263AF8" w14:paraId="37D564E2" w14:textId="77777777" w:rsidTr="00C37A27">
        <w:trPr>
          <w:trHeight w:val="283"/>
        </w:trPr>
        <w:tc>
          <w:tcPr>
            <w:tcW w:w="3481" w:type="dxa"/>
            <w:tcBorders>
              <w:top w:val="nil"/>
              <w:left w:val="nil"/>
              <w:bottom w:val="nil"/>
              <w:right w:val="nil"/>
            </w:tcBorders>
            <w:shd w:val="clear" w:color="auto" w:fill="auto"/>
            <w:noWrap/>
            <w:vAlign w:val="bottom"/>
            <w:hideMark/>
          </w:tcPr>
          <w:p w14:paraId="63CE8F48" w14:textId="77777777" w:rsidR="002B350E" w:rsidRDefault="002B350E">
            <w:pPr>
              <w:rPr>
                <w:rFonts w:ascii="Calibri Light" w:hAnsi="Calibri Light" w:cs="Arial"/>
                <w:i/>
                <w:iCs/>
                <w:sz w:val="22"/>
                <w:szCs w:val="22"/>
              </w:rPr>
            </w:pPr>
            <w:r>
              <w:rPr>
                <w:rFonts w:ascii="Calibri Light" w:hAnsi="Calibri Light" w:cs="Arial"/>
                <w:i/>
                <w:iCs/>
                <w:sz w:val="22"/>
                <w:szCs w:val="22"/>
              </w:rPr>
              <w:t>Audited</w:t>
            </w:r>
          </w:p>
        </w:tc>
        <w:tc>
          <w:tcPr>
            <w:tcW w:w="236" w:type="dxa"/>
            <w:tcBorders>
              <w:top w:val="nil"/>
              <w:left w:val="nil"/>
              <w:bottom w:val="nil"/>
              <w:right w:val="nil"/>
            </w:tcBorders>
            <w:shd w:val="clear" w:color="auto" w:fill="auto"/>
            <w:noWrap/>
            <w:vAlign w:val="bottom"/>
            <w:hideMark/>
          </w:tcPr>
          <w:p w14:paraId="065BAD54" w14:textId="77777777" w:rsidR="002B350E" w:rsidRDefault="002B350E">
            <w:pPr>
              <w:rPr>
                <w:rFonts w:ascii="Calibri Light" w:hAnsi="Calibri Light" w:cs="Arial"/>
                <w:i/>
                <w:iCs/>
                <w:sz w:val="22"/>
                <w:szCs w:val="22"/>
              </w:rPr>
            </w:pPr>
          </w:p>
        </w:tc>
        <w:tc>
          <w:tcPr>
            <w:tcW w:w="1304" w:type="dxa"/>
            <w:tcBorders>
              <w:top w:val="nil"/>
              <w:left w:val="nil"/>
              <w:bottom w:val="nil"/>
              <w:right w:val="nil"/>
            </w:tcBorders>
            <w:shd w:val="clear" w:color="auto" w:fill="auto"/>
            <w:noWrap/>
            <w:vAlign w:val="bottom"/>
            <w:hideMark/>
          </w:tcPr>
          <w:p w14:paraId="06151FC6"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7370A181" w14:textId="77777777" w:rsidR="002B350E" w:rsidRDefault="002B350E">
            <w:pPr>
              <w:rPr>
                <w:sz w:val="20"/>
                <w:szCs w:val="20"/>
              </w:rPr>
            </w:pPr>
          </w:p>
        </w:tc>
        <w:tc>
          <w:tcPr>
            <w:tcW w:w="1229" w:type="dxa"/>
            <w:tcBorders>
              <w:top w:val="nil"/>
              <w:left w:val="nil"/>
              <w:bottom w:val="nil"/>
              <w:right w:val="nil"/>
            </w:tcBorders>
            <w:shd w:val="clear" w:color="auto" w:fill="auto"/>
            <w:noWrap/>
            <w:vAlign w:val="bottom"/>
            <w:hideMark/>
          </w:tcPr>
          <w:p w14:paraId="42F0C301"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2975E1FE" w14:textId="77777777" w:rsidR="002B350E" w:rsidRDefault="002B350E">
            <w:pPr>
              <w:rPr>
                <w:sz w:val="20"/>
                <w:szCs w:val="20"/>
              </w:rPr>
            </w:pPr>
          </w:p>
        </w:tc>
        <w:tc>
          <w:tcPr>
            <w:tcW w:w="1349" w:type="dxa"/>
            <w:tcBorders>
              <w:top w:val="nil"/>
              <w:left w:val="nil"/>
              <w:bottom w:val="nil"/>
              <w:right w:val="nil"/>
            </w:tcBorders>
            <w:shd w:val="clear" w:color="auto" w:fill="auto"/>
            <w:noWrap/>
            <w:vAlign w:val="bottom"/>
            <w:hideMark/>
          </w:tcPr>
          <w:p w14:paraId="2A6BA4F1" w14:textId="77777777" w:rsidR="002B350E" w:rsidRDefault="002B350E">
            <w:pPr>
              <w:jc w:val="center"/>
              <w:rPr>
                <w:sz w:val="20"/>
                <w:szCs w:val="20"/>
              </w:rPr>
            </w:pPr>
          </w:p>
        </w:tc>
        <w:tc>
          <w:tcPr>
            <w:tcW w:w="236" w:type="dxa"/>
            <w:tcBorders>
              <w:top w:val="nil"/>
              <w:left w:val="nil"/>
              <w:bottom w:val="nil"/>
              <w:right w:val="nil"/>
            </w:tcBorders>
            <w:shd w:val="clear" w:color="auto" w:fill="auto"/>
            <w:noWrap/>
            <w:vAlign w:val="bottom"/>
            <w:hideMark/>
          </w:tcPr>
          <w:p w14:paraId="7EA378F4" w14:textId="77777777" w:rsidR="002B350E" w:rsidRDefault="002B350E">
            <w:pPr>
              <w:jc w:val="center"/>
              <w:rPr>
                <w:sz w:val="20"/>
                <w:szCs w:val="20"/>
              </w:rPr>
            </w:pPr>
          </w:p>
        </w:tc>
        <w:tc>
          <w:tcPr>
            <w:tcW w:w="1293" w:type="dxa"/>
            <w:tcBorders>
              <w:top w:val="nil"/>
              <w:left w:val="nil"/>
              <w:bottom w:val="nil"/>
              <w:right w:val="nil"/>
            </w:tcBorders>
            <w:shd w:val="clear" w:color="auto" w:fill="auto"/>
            <w:noWrap/>
            <w:vAlign w:val="bottom"/>
            <w:hideMark/>
          </w:tcPr>
          <w:p w14:paraId="60642CD0" w14:textId="77777777" w:rsidR="002B350E" w:rsidRDefault="002B350E">
            <w:pPr>
              <w:jc w:val="center"/>
              <w:rPr>
                <w:sz w:val="20"/>
                <w:szCs w:val="20"/>
              </w:rPr>
            </w:pPr>
          </w:p>
        </w:tc>
        <w:tc>
          <w:tcPr>
            <w:tcW w:w="236" w:type="dxa"/>
            <w:tcBorders>
              <w:top w:val="nil"/>
              <w:left w:val="nil"/>
              <w:bottom w:val="nil"/>
              <w:right w:val="nil"/>
            </w:tcBorders>
            <w:shd w:val="clear" w:color="auto" w:fill="auto"/>
            <w:noWrap/>
            <w:vAlign w:val="bottom"/>
            <w:hideMark/>
          </w:tcPr>
          <w:p w14:paraId="7E181148" w14:textId="77777777" w:rsidR="002B350E" w:rsidRDefault="002B350E">
            <w:pPr>
              <w:rPr>
                <w:sz w:val="20"/>
                <w:szCs w:val="20"/>
              </w:rPr>
            </w:pPr>
          </w:p>
        </w:tc>
        <w:tc>
          <w:tcPr>
            <w:tcW w:w="1124" w:type="dxa"/>
            <w:tcBorders>
              <w:top w:val="nil"/>
              <w:left w:val="nil"/>
              <w:bottom w:val="nil"/>
              <w:right w:val="nil"/>
            </w:tcBorders>
            <w:shd w:val="clear" w:color="auto" w:fill="auto"/>
            <w:noWrap/>
            <w:vAlign w:val="bottom"/>
            <w:hideMark/>
          </w:tcPr>
          <w:p w14:paraId="7C5C02AB"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70DF62B6" w14:textId="77777777" w:rsidR="002B350E" w:rsidRDefault="002B350E">
            <w:pPr>
              <w:rPr>
                <w:sz w:val="20"/>
                <w:szCs w:val="20"/>
              </w:rPr>
            </w:pPr>
          </w:p>
        </w:tc>
        <w:tc>
          <w:tcPr>
            <w:tcW w:w="1236" w:type="dxa"/>
            <w:tcBorders>
              <w:top w:val="nil"/>
              <w:left w:val="nil"/>
              <w:bottom w:val="nil"/>
              <w:right w:val="nil"/>
            </w:tcBorders>
            <w:shd w:val="clear" w:color="auto" w:fill="auto"/>
            <w:noWrap/>
            <w:vAlign w:val="bottom"/>
            <w:hideMark/>
          </w:tcPr>
          <w:p w14:paraId="44DAE56A" w14:textId="77777777" w:rsidR="002B350E" w:rsidRDefault="002B350E">
            <w:pPr>
              <w:rPr>
                <w:sz w:val="20"/>
                <w:szCs w:val="20"/>
              </w:rPr>
            </w:pPr>
          </w:p>
        </w:tc>
        <w:tc>
          <w:tcPr>
            <w:tcW w:w="236" w:type="dxa"/>
            <w:tcBorders>
              <w:top w:val="nil"/>
              <w:left w:val="nil"/>
              <w:bottom w:val="nil"/>
              <w:right w:val="nil"/>
            </w:tcBorders>
            <w:shd w:val="clear" w:color="auto" w:fill="auto"/>
            <w:noWrap/>
            <w:vAlign w:val="bottom"/>
            <w:hideMark/>
          </w:tcPr>
          <w:p w14:paraId="1C9FF2BF" w14:textId="77777777" w:rsidR="002B350E" w:rsidRDefault="002B350E">
            <w:pPr>
              <w:rPr>
                <w:sz w:val="20"/>
                <w:szCs w:val="20"/>
              </w:rPr>
            </w:pPr>
          </w:p>
        </w:tc>
        <w:tc>
          <w:tcPr>
            <w:tcW w:w="1404" w:type="dxa"/>
            <w:tcBorders>
              <w:top w:val="nil"/>
              <w:left w:val="nil"/>
              <w:bottom w:val="nil"/>
              <w:right w:val="nil"/>
            </w:tcBorders>
            <w:shd w:val="clear" w:color="auto" w:fill="auto"/>
            <w:noWrap/>
            <w:vAlign w:val="bottom"/>
            <w:hideMark/>
          </w:tcPr>
          <w:p w14:paraId="3F3037B1" w14:textId="77777777" w:rsidR="002B350E" w:rsidRDefault="002B350E">
            <w:pPr>
              <w:rPr>
                <w:sz w:val="20"/>
                <w:szCs w:val="20"/>
              </w:rPr>
            </w:pPr>
          </w:p>
        </w:tc>
      </w:tr>
      <w:tr w:rsidR="00263AF8" w14:paraId="52612700" w14:textId="77777777" w:rsidTr="00C37A27">
        <w:trPr>
          <w:trHeight w:val="283"/>
        </w:trPr>
        <w:tc>
          <w:tcPr>
            <w:tcW w:w="3481" w:type="dxa"/>
            <w:tcBorders>
              <w:top w:val="nil"/>
              <w:left w:val="nil"/>
              <w:bottom w:val="nil"/>
              <w:right w:val="nil"/>
            </w:tcBorders>
            <w:shd w:val="clear" w:color="auto" w:fill="auto"/>
            <w:noWrap/>
            <w:vAlign w:val="bottom"/>
            <w:hideMark/>
          </w:tcPr>
          <w:p w14:paraId="108BF4F1" w14:textId="77777777" w:rsidR="002B350E" w:rsidRDefault="002B350E">
            <w:pPr>
              <w:rPr>
                <w:rFonts w:ascii="Calibri Light" w:hAnsi="Calibri Light" w:cs="Arial"/>
                <w:sz w:val="22"/>
                <w:szCs w:val="22"/>
              </w:rPr>
            </w:pPr>
            <w:r>
              <w:rPr>
                <w:rFonts w:ascii="Calibri Light" w:hAnsi="Calibri Light" w:cs="Arial"/>
                <w:sz w:val="22"/>
                <w:szCs w:val="22"/>
              </w:rPr>
              <w:t>At 1 January 2021</w:t>
            </w:r>
          </w:p>
        </w:tc>
        <w:tc>
          <w:tcPr>
            <w:tcW w:w="236" w:type="dxa"/>
            <w:tcBorders>
              <w:top w:val="nil"/>
              <w:left w:val="nil"/>
              <w:bottom w:val="nil"/>
              <w:right w:val="nil"/>
            </w:tcBorders>
            <w:shd w:val="clear" w:color="auto" w:fill="auto"/>
            <w:noWrap/>
            <w:vAlign w:val="bottom"/>
            <w:hideMark/>
          </w:tcPr>
          <w:p w14:paraId="644075EC"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17F8DDAA" w14:textId="2F349E4B"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    7,035,589 </w:t>
            </w:r>
          </w:p>
        </w:tc>
        <w:tc>
          <w:tcPr>
            <w:tcW w:w="236" w:type="dxa"/>
            <w:tcBorders>
              <w:top w:val="nil"/>
              <w:left w:val="nil"/>
              <w:bottom w:val="nil"/>
              <w:right w:val="nil"/>
            </w:tcBorders>
            <w:shd w:val="clear" w:color="auto" w:fill="auto"/>
            <w:noWrap/>
            <w:vAlign w:val="bottom"/>
            <w:hideMark/>
          </w:tcPr>
          <w:p w14:paraId="415C910F" w14:textId="77777777" w:rsidR="002B350E" w:rsidRDefault="002B350E" w:rsidP="003C7A44">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1735BF2C" w14:textId="5F0BA967"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10,185,819 </w:t>
            </w:r>
          </w:p>
        </w:tc>
        <w:tc>
          <w:tcPr>
            <w:tcW w:w="236" w:type="dxa"/>
            <w:tcBorders>
              <w:top w:val="nil"/>
              <w:left w:val="nil"/>
              <w:bottom w:val="nil"/>
              <w:right w:val="nil"/>
            </w:tcBorders>
            <w:shd w:val="clear" w:color="auto" w:fill="auto"/>
            <w:noWrap/>
            <w:vAlign w:val="bottom"/>
            <w:hideMark/>
          </w:tcPr>
          <w:p w14:paraId="03F3C2D8" w14:textId="77777777" w:rsidR="002B350E" w:rsidRDefault="002B350E" w:rsidP="0044570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3986935D" w14:textId="77777777" w:rsidR="002B350E" w:rsidRDefault="002B350E" w:rsidP="003C7A44">
            <w:pPr>
              <w:ind w:right="-57"/>
              <w:jc w:val="right"/>
              <w:rPr>
                <w:rFonts w:ascii="Calibri Light" w:hAnsi="Calibri Light" w:cs="Arial"/>
                <w:sz w:val="22"/>
                <w:szCs w:val="22"/>
              </w:rPr>
            </w:pPr>
            <w:r>
              <w:rPr>
                <w:rFonts w:ascii="Calibri Light" w:hAnsi="Calibri Light" w:cs="Arial"/>
                <w:color w:val="FF0000"/>
                <w:sz w:val="22"/>
                <w:szCs w:val="22"/>
              </w:rPr>
              <w:t>(14,965,030)</w:t>
            </w:r>
          </w:p>
        </w:tc>
        <w:tc>
          <w:tcPr>
            <w:tcW w:w="236" w:type="dxa"/>
            <w:tcBorders>
              <w:top w:val="nil"/>
              <w:left w:val="nil"/>
              <w:bottom w:val="nil"/>
              <w:right w:val="nil"/>
            </w:tcBorders>
            <w:shd w:val="clear" w:color="auto" w:fill="auto"/>
            <w:noWrap/>
            <w:vAlign w:val="bottom"/>
            <w:hideMark/>
          </w:tcPr>
          <w:p w14:paraId="7AD027C8" w14:textId="77777777" w:rsidR="002B350E" w:rsidRDefault="002B350E" w:rsidP="0044570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1E930B0F" w14:textId="579C8ABC"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0A1C0B67" w14:textId="77777777" w:rsidR="002B350E" w:rsidRDefault="002B350E" w:rsidP="003C7A44">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70EE36CC" w14:textId="619015DC"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7DB91BC7" w14:textId="77777777" w:rsidR="002B350E" w:rsidRDefault="002B350E" w:rsidP="003C7A44">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416BA23F" w14:textId="69AAA2BC"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93C1597" w14:textId="77777777" w:rsidR="002B350E" w:rsidRDefault="002B350E" w:rsidP="003C7A44">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71151F5D" w14:textId="77777777" w:rsidR="002B350E" w:rsidRDefault="002B350E" w:rsidP="003C7A44">
            <w:pPr>
              <w:jc w:val="right"/>
              <w:rPr>
                <w:rFonts w:ascii="Calibri Light" w:hAnsi="Calibri Light" w:cs="Arial"/>
                <w:sz w:val="22"/>
                <w:szCs w:val="22"/>
              </w:rPr>
            </w:pPr>
            <w:r>
              <w:rPr>
                <w:rFonts w:ascii="Calibri Light" w:hAnsi="Calibri Light" w:cs="Arial"/>
                <w:sz w:val="22"/>
                <w:szCs w:val="22"/>
              </w:rPr>
              <w:t xml:space="preserve">     4,716,378 </w:t>
            </w:r>
          </w:p>
        </w:tc>
      </w:tr>
      <w:tr w:rsidR="00263AF8" w14:paraId="205D016E" w14:textId="77777777" w:rsidTr="00C37A27">
        <w:trPr>
          <w:trHeight w:val="283"/>
        </w:trPr>
        <w:tc>
          <w:tcPr>
            <w:tcW w:w="3481" w:type="dxa"/>
            <w:tcBorders>
              <w:top w:val="nil"/>
              <w:left w:val="nil"/>
              <w:bottom w:val="nil"/>
              <w:right w:val="nil"/>
            </w:tcBorders>
            <w:shd w:val="clear" w:color="auto" w:fill="auto"/>
            <w:noWrap/>
            <w:vAlign w:val="bottom"/>
            <w:hideMark/>
          </w:tcPr>
          <w:p w14:paraId="7421FA59" w14:textId="77777777" w:rsidR="002B350E" w:rsidRDefault="002B350E">
            <w:pPr>
              <w:rPr>
                <w:rFonts w:ascii="Calibri Light" w:hAnsi="Calibri Light" w:cs="Arial"/>
                <w:sz w:val="22"/>
                <w:szCs w:val="22"/>
              </w:rPr>
            </w:pPr>
            <w:r>
              <w:rPr>
                <w:rFonts w:ascii="Calibri Light" w:hAnsi="Calibri Light" w:cs="Arial"/>
                <w:sz w:val="22"/>
                <w:szCs w:val="22"/>
              </w:rPr>
              <w:t>Total comprehensive income for the year</w:t>
            </w:r>
          </w:p>
        </w:tc>
        <w:tc>
          <w:tcPr>
            <w:tcW w:w="236" w:type="dxa"/>
            <w:tcBorders>
              <w:top w:val="nil"/>
              <w:left w:val="nil"/>
              <w:bottom w:val="nil"/>
              <w:right w:val="nil"/>
            </w:tcBorders>
            <w:shd w:val="clear" w:color="auto" w:fill="auto"/>
            <w:noWrap/>
            <w:vAlign w:val="bottom"/>
            <w:hideMark/>
          </w:tcPr>
          <w:p w14:paraId="568E0FE2"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23042C24"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721E2F27" w14:textId="77777777" w:rsidR="002B350E" w:rsidRDefault="002B350E" w:rsidP="00445707">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0B03CF5A"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C365DA1" w14:textId="77777777" w:rsidR="002B350E" w:rsidRDefault="002B350E" w:rsidP="00445707">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3CB2AA3A"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2,259,796</w:t>
            </w:r>
          </w:p>
        </w:tc>
        <w:tc>
          <w:tcPr>
            <w:tcW w:w="236" w:type="dxa"/>
            <w:tcBorders>
              <w:top w:val="nil"/>
              <w:left w:val="nil"/>
              <w:bottom w:val="nil"/>
              <w:right w:val="nil"/>
            </w:tcBorders>
            <w:shd w:val="clear" w:color="auto" w:fill="auto"/>
            <w:noWrap/>
            <w:vAlign w:val="bottom"/>
            <w:hideMark/>
          </w:tcPr>
          <w:p w14:paraId="2D394A83" w14:textId="77777777" w:rsidR="002B350E" w:rsidRDefault="002B350E" w:rsidP="00445707">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09EC5C75"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BA3B850" w14:textId="77777777" w:rsidR="002B350E" w:rsidRDefault="002B350E" w:rsidP="00445707">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62E2BDA9"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F92EC1D" w14:textId="77777777" w:rsidR="002B350E" w:rsidRDefault="002B350E" w:rsidP="00445707">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3278E7B5"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35DD60E" w14:textId="77777777" w:rsidR="002B350E" w:rsidRDefault="002B350E" w:rsidP="00445707">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21E9C5FB" w14:textId="77777777" w:rsidR="002B350E" w:rsidRDefault="002B350E" w:rsidP="00445707">
            <w:pPr>
              <w:jc w:val="right"/>
              <w:rPr>
                <w:rFonts w:ascii="Calibri Light" w:hAnsi="Calibri Light" w:cs="Arial"/>
                <w:sz w:val="22"/>
                <w:szCs w:val="22"/>
              </w:rPr>
            </w:pPr>
            <w:r>
              <w:rPr>
                <w:rFonts w:ascii="Calibri Light" w:hAnsi="Calibri Light" w:cs="Arial"/>
                <w:sz w:val="22"/>
                <w:szCs w:val="22"/>
              </w:rPr>
              <w:t xml:space="preserve">     2,259,796 </w:t>
            </w:r>
          </w:p>
        </w:tc>
      </w:tr>
      <w:tr w:rsidR="00263AF8" w14:paraId="48A3BF50" w14:textId="77777777" w:rsidTr="00C37A27">
        <w:trPr>
          <w:trHeight w:val="283"/>
        </w:trPr>
        <w:tc>
          <w:tcPr>
            <w:tcW w:w="3481" w:type="dxa"/>
            <w:tcBorders>
              <w:top w:val="nil"/>
              <w:left w:val="nil"/>
              <w:bottom w:val="nil"/>
              <w:right w:val="nil"/>
            </w:tcBorders>
            <w:shd w:val="clear" w:color="auto" w:fill="auto"/>
            <w:noWrap/>
            <w:vAlign w:val="bottom"/>
            <w:hideMark/>
          </w:tcPr>
          <w:p w14:paraId="2B0CAB3C" w14:textId="77777777" w:rsidR="002B350E" w:rsidRDefault="002B350E">
            <w:pPr>
              <w:rPr>
                <w:rFonts w:ascii="Calibri Light" w:hAnsi="Calibri Light" w:cs="Arial"/>
                <w:sz w:val="22"/>
                <w:szCs w:val="22"/>
              </w:rPr>
            </w:pPr>
            <w:r>
              <w:rPr>
                <w:rFonts w:ascii="Calibri Light" w:hAnsi="Calibri Light" w:cs="Arial"/>
                <w:sz w:val="22"/>
                <w:szCs w:val="22"/>
              </w:rPr>
              <w:t>Issue of shares</w:t>
            </w:r>
          </w:p>
        </w:tc>
        <w:tc>
          <w:tcPr>
            <w:tcW w:w="236" w:type="dxa"/>
            <w:tcBorders>
              <w:top w:val="nil"/>
              <w:left w:val="nil"/>
              <w:bottom w:val="nil"/>
              <w:right w:val="nil"/>
            </w:tcBorders>
            <w:shd w:val="clear" w:color="auto" w:fill="auto"/>
            <w:noWrap/>
            <w:vAlign w:val="bottom"/>
            <w:hideMark/>
          </w:tcPr>
          <w:p w14:paraId="2011E135"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68F981DF" w14:textId="518B57FC"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88,766 </w:t>
            </w:r>
          </w:p>
        </w:tc>
        <w:tc>
          <w:tcPr>
            <w:tcW w:w="236" w:type="dxa"/>
            <w:tcBorders>
              <w:top w:val="nil"/>
              <w:left w:val="nil"/>
              <w:bottom w:val="nil"/>
              <w:right w:val="nil"/>
            </w:tcBorders>
            <w:shd w:val="clear" w:color="auto" w:fill="auto"/>
            <w:noWrap/>
            <w:vAlign w:val="bottom"/>
            <w:hideMark/>
          </w:tcPr>
          <w:p w14:paraId="46F83D20" w14:textId="77777777" w:rsidR="002B350E" w:rsidRDefault="002B350E" w:rsidP="000313EA">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3C4DCACB" w14:textId="29D0B6FB"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1,492,910 </w:t>
            </w:r>
          </w:p>
        </w:tc>
        <w:tc>
          <w:tcPr>
            <w:tcW w:w="236" w:type="dxa"/>
            <w:tcBorders>
              <w:top w:val="nil"/>
              <w:left w:val="nil"/>
              <w:bottom w:val="nil"/>
              <w:right w:val="nil"/>
            </w:tcBorders>
            <w:shd w:val="clear" w:color="auto" w:fill="auto"/>
            <w:noWrap/>
            <w:vAlign w:val="bottom"/>
            <w:hideMark/>
          </w:tcPr>
          <w:p w14:paraId="0F69A33E" w14:textId="77777777" w:rsidR="002B350E" w:rsidRDefault="002B350E" w:rsidP="000313EA">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62A83EAA" w14:textId="0D86B35B"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B78E1FD" w14:textId="77777777" w:rsidR="002B350E" w:rsidRDefault="002B350E" w:rsidP="000313EA">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178285C6" w14:textId="21828C1A"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552AEE9" w14:textId="77777777" w:rsidR="002B350E" w:rsidRDefault="002B350E" w:rsidP="000313EA">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500CDA0A" w14:textId="0F7E8C09"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81590B8" w14:textId="77777777" w:rsidR="002B350E" w:rsidRDefault="002B350E" w:rsidP="000313EA">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0E5DA994" w14:textId="06B4186E"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3A3F583A" w14:textId="77777777" w:rsidR="002B350E" w:rsidRDefault="002B350E" w:rsidP="000313EA">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2B286B29" w14:textId="77777777" w:rsidR="002B350E" w:rsidRDefault="002B350E" w:rsidP="000313EA">
            <w:pPr>
              <w:jc w:val="right"/>
              <w:rPr>
                <w:rFonts w:ascii="Calibri Light" w:hAnsi="Calibri Light" w:cs="Arial"/>
                <w:sz w:val="22"/>
                <w:szCs w:val="22"/>
              </w:rPr>
            </w:pPr>
            <w:r>
              <w:rPr>
                <w:rFonts w:ascii="Calibri Light" w:hAnsi="Calibri Light" w:cs="Arial"/>
                <w:sz w:val="22"/>
                <w:szCs w:val="22"/>
              </w:rPr>
              <w:t xml:space="preserve">     1,581,676 </w:t>
            </w:r>
          </w:p>
        </w:tc>
      </w:tr>
      <w:tr w:rsidR="00263AF8" w14:paraId="2B98BE74" w14:textId="77777777" w:rsidTr="00C37A27">
        <w:trPr>
          <w:trHeight w:val="283"/>
        </w:trPr>
        <w:tc>
          <w:tcPr>
            <w:tcW w:w="3481" w:type="dxa"/>
            <w:tcBorders>
              <w:top w:val="nil"/>
              <w:left w:val="nil"/>
              <w:bottom w:val="nil"/>
              <w:right w:val="nil"/>
            </w:tcBorders>
            <w:shd w:val="clear" w:color="auto" w:fill="auto"/>
            <w:noWrap/>
            <w:vAlign w:val="bottom"/>
            <w:hideMark/>
          </w:tcPr>
          <w:p w14:paraId="4CEF3B79" w14:textId="77777777" w:rsidR="002B350E" w:rsidRDefault="002B350E">
            <w:pPr>
              <w:rPr>
                <w:rFonts w:ascii="Calibri Light" w:hAnsi="Calibri Light" w:cs="Arial"/>
                <w:sz w:val="22"/>
                <w:szCs w:val="22"/>
              </w:rPr>
            </w:pPr>
            <w:r>
              <w:rPr>
                <w:rFonts w:ascii="Calibri Light" w:hAnsi="Calibri Light" w:cs="Arial"/>
                <w:sz w:val="22"/>
                <w:szCs w:val="22"/>
              </w:rPr>
              <w:t>Costs in respect of shares issued</w:t>
            </w:r>
          </w:p>
        </w:tc>
        <w:tc>
          <w:tcPr>
            <w:tcW w:w="236" w:type="dxa"/>
            <w:tcBorders>
              <w:top w:val="nil"/>
              <w:left w:val="nil"/>
              <w:bottom w:val="nil"/>
              <w:right w:val="nil"/>
            </w:tcBorders>
            <w:shd w:val="clear" w:color="auto" w:fill="auto"/>
            <w:noWrap/>
            <w:vAlign w:val="bottom"/>
            <w:hideMark/>
          </w:tcPr>
          <w:p w14:paraId="10C981E1"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1D883DF4" w14:textId="64C8929B" w:rsidR="002B350E" w:rsidRDefault="002B350E" w:rsidP="000647F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EBD6960" w14:textId="77777777" w:rsidR="002B350E" w:rsidRDefault="002B350E" w:rsidP="001F19C8">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1380300A" w14:textId="77777777" w:rsidR="002B350E" w:rsidRDefault="002B350E" w:rsidP="000313EA">
            <w:pPr>
              <w:ind w:right="-57"/>
              <w:jc w:val="right"/>
              <w:rPr>
                <w:rFonts w:ascii="Calibri Light" w:hAnsi="Calibri Light" w:cs="Arial"/>
                <w:sz w:val="22"/>
                <w:szCs w:val="22"/>
              </w:rPr>
            </w:pPr>
            <w:r>
              <w:rPr>
                <w:rFonts w:ascii="Calibri Light" w:hAnsi="Calibri Light" w:cs="Arial"/>
                <w:color w:val="FF0000"/>
                <w:sz w:val="22"/>
                <w:szCs w:val="22"/>
              </w:rPr>
              <w:t>(54,900)</w:t>
            </w:r>
          </w:p>
        </w:tc>
        <w:tc>
          <w:tcPr>
            <w:tcW w:w="236" w:type="dxa"/>
            <w:tcBorders>
              <w:top w:val="nil"/>
              <w:left w:val="nil"/>
              <w:bottom w:val="nil"/>
              <w:right w:val="nil"/>
            </w:tcBorders>
            <w:shd w:val="clear" w:color="auto" w:fill="auto"/>
            <w:noWrap/>
            <w:vAlign w:val="bottom"/>
            <w:hideMark/>
          </w:tcPr>
          <w:p w14:paraId="37BFB0E5" w14:textId="77777777" w:rsidR="002B350E" w:rsidRDefault="002B350E" w:rsidP="001F19C8">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4FF2230C" w14:textId="36782411" w:rsidR="002B350E" w:rsidRDefault="002B350E" w:rsidP="000647F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73765BE" w14:textId="77777777" w:rsidR="002B350E" w:rsidRDefault="002B350E" w:rsidP="000647FD">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4346F075" w14:textId="40A36CFB" w:rsidR="002B350E" w:rsidRDefault="002B350E" w:rsidP="000647F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3838875" w14:textId="77777777" w:rsidR="002B350E" w:rsidRDefault="002B350E" w:rsidP="000647FD">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38169CB6" w14:textId="5898A589" w:rsidR="002B350E" w:rsidRDefault="002B350E" w:rsidP="000647FD">
            <w:pPr>
              <w:jc w:val="right"/>
              <w:rPr>
                <w:rFonts w:ascii="Calibri Light" w:hAnsi="Calibri Light" w:cs="Arial"/>
                <w:sz w:val="22"/>
                <w:szCs w:val="22"/>
              </w:rPr>
            </w:pPr>
            <w:r>
              <w:rPr>
                <w:rFonts w:ascii="Calibri Light" w:hAnsi="Calibri Light" w:cs="Arial"/>
                <w:sz w:val="22"/>
                <w:szCs w:val="22"/>
              </w:rPr>
              <w:t xml:space="preserve">-   </w:t>
            </w:r>
          </w:p>
        </w:tc>
        <w:tc>
          <w:tcPr>
            <w:tcW w:w="236" w:type="dxa"/>
            <w:tcBorders>
              <w:top w:val="nil"/>
              <w:left w:val="nil"/>
              <w:bottom w:val="nil"/>
              <w:right w:val="nil"/>
            </w:tcBorders>
            <w:shd w:val="clear" w:color="auto" w:fill="auto"/>
            <w:noWrap/>
            <w:vAlign w:val="bottom"/>
            <w:hideMark/>
          </w:tcPr>
          <w:p w14:paraId="5686D266" w14:textId="77777777" w:rsidR="002B350E" w:rsidRDefault="002B350E" w:rsidP="000647FD">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0D427C8F" w14:textId="0BB64D8A" w:rsidR="002B350E" w:rsidRDefault="002B350E" w:rsidP="00F64287">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AB123D5" w14:textId="77777777" w:rsidR="002B350E" w:rsidRDefault="002B350E" w:rsidP="001F19C8">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08B890D4" w14:textId="77777777" w:rsidR="002B350E" w:rsidRDefault="002B350E" w:rsidP="000647FD">
            <w:pPr>
              <w:ind w:right="-57"/>
              <w:jc w:val="right"/>
              <w:rPr>
                <w:rFonts w:ascii="Calibri Light" w:hAnsi="Calibri Light" w:cs="Arial"/>
                <w:sz w:val="22"/>
                <w:szCs w:val="22"/>
              </w:rPr>
            </w:pPr>
            <w:r>
              <w:rPr>
                <w:rFonts w:ascii="Calibri Light" w:hAnsi="Calibri Light" w:cs="Arial"/>
                <w:color w:val="FF0000"/>
                <w:sz w:val="22"/>
                <w:szCs w:val="22"/>
              </w:rPr>
              <w:t>(54,900)</w:t>
            </w:r>
          </w:p>
        </w:tc>
      </w:tr>
      <w:tr w:rsidR="00263AF8" w14:paraId="05BCD25B" w14:textId="77777777" w:rsidTr="00C37A27">
        <w:trPr>
          <w:trHeight w:val="283"/>
        </w:trPr>
        <w:tc>
          <w:tcPr>
            <w:tcW w:w="3481" w:type="dxa"/>
            <w:tcBorders>
              <w:top w:val="nil"/>
              <w:left w:val="nil"/>
              <w:bottom w:val="nil"/>
              <w:right w:val="nil"/>
            </w:tcBorders>
            <w:shd w:val="clear" w:color="auto" w:fill="auto"/>
            <w:noWrap/>
            <w:vAlign w:val="bottom"/>
            <w:hideMark/>
          </w:tcPr>
          <w:p w14:paraId="1DCF2CC7" w14:textId="76077C2A" w:rsidR="002B350E" w:rsidRDefault="002B350E">
            <w:pPr>
              <w:rPr>
                <w:rFonts w:ascii="Calibri Light" w:hAnsi="Calibri Light" w:cs="Arial"/>
                <w:sz w:val="22"/>
                <w:szCs w:val="22"/>
              </w:rPr>
            </w:pPr>
            <w:r>
              <w:rPr>
                <w:rFonts w:ascii="Calibri Light" w:hAnsi="Calibri Light" w:cs="Arial"/>
                <w:sz w:val="22"/>
                <w:szCs w:val="22"/>
              </w:rPr>
              <w:t>Equity-settled share</w:t>
            </w:r>
            <w:r w:rsidR="000647FD">
              <w:rPr>
                <w:rFonts w:ascii="Calibri Light" w:hAnsi="Calibri Light" w:cs="Arial"/>
                <w:sz w:val="22"/>
                <w:szCs w:val="22"/>
              </w:rPr>
              <w:t>-</w:t>
            </w:r>
            <w:r>
              <w:rPr>
                <w:rFonts w:ascii="Calibri Light" w:hAnsi="Calibri Light" w:cs="Arial"/>
                <w:sz w:val="22"/>
                <w:szCs w:val="22"/>
              </w:rPr>
              <w:t>based payments</w:t>
            </w:r>
          </w:p>
        </w:tc>
        <w:tc>
          <w:tcPr>
            <w:tcW w:w="236" w:type="dxa"/>
            <w:tcBorders>
              <w:top w:val="nil"/>
              <w:left w:val="nil"/>
              <w:bottom w:val="nil"/>
              <w:right w:val="nil"/>
            </w:tcBorders>
            <w:shd w:val="clear" w:color="auto" w:fill="auto"/>
            <w:noWrap/>
            <w:vAlign w:val="bottom"/>
            <w:hideMark/>
          </w:tcPr>
          <w:p w14:paraId="2FF59075"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7AB39AE3" w14:textId="1783BF15"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749F41E" w14:textId="77777777" w:rsidR="002B350E" w:rsidRDefault="002B350E" w:rsidP="001F19C8">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4B271444" w14:textId="77777777" w:rsidR="002B350E" w:rsidRDefault="002B350E" w:rsidP="000313EA">
            <w:pPr>
              <w:ind w:right="-57"/>
              <w:jc w:val="right"/>
              <w:rPr>
                <w:rFonts w:ascii="Calibri Light" w:hAnsi="Calibri Light" w:cs="Arial"/>
                <w:sz w:val="22"/>
                <w:szCs w:val="22"/>
              </w:rPr>
            </w:pPr>
            <w:r>
              <w:rPr>
                <w:rFonts w:ascii="Calibri Light" w:hAnsi="Calibri Light" w:cs="Arial"/>
                <w:color w:val="FF0000"/>
                <w:sz w:val="22"/>
                <w:szCs w:val="22"/>
              </w:rPr>
              <w:t>(24,496)</w:t>
            </w:r>
          </w:p>
        </w:tc>
        <w:tc>
          <w:tcPr>
            <w:tcW w:w="236" w:type="dxa"/>
            <w:tcBorders>
              <w:top w:val="nil"/>
              <w:left w:val="nil"/>
              <w:bottom w:val="nil"/>
              <w:right w:val="nil"/>
            </w:tcBorders>
            <w:shd w:val="clear" w:color="auto" w:fill="auto"/>
            <w:noWrap/>
            <w:vAlign w:val="bottom"/>
            <w:hideMark/>
          </w:tcPr>
          <w:p w14:paraId="354147BA" w14:textId="77777777" w:rsidR="002B350E" w:rsidRDefault="002B350E" w:rsidP="001F19C8">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246967F0" w14:textId="2751FEA7"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24,496 </w:t>
            </w:r>
          </w:p>
        </w:tc>
        <w:tc>
          <w:tcPr>
            <w:tcW w:w="236" w:type="dxa"/>
            <w:tcBorders>
              <w:top w:val="nil"/>
              <w:left w:val="nil"/>
              <w:bottom w:val="nil"/>
              <w:right w:val="nil"/>
            </w:tcBorders>
            <w:shd w:val="clear" w:color="auto" w:fill="auto"/>
            <w:noWrap/>
            <w:vAlign w:val="bottom"/>
            <w:hideMark/>
          </w:tcPr>
          <w:p w14:paraId="7AC532F5" w14:textId="77777777" w:rsidR="002B350E" w:rsidRDefault="002B350E" w:rsidP="00485ADD">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7A40D9DC" w14:textId="7E9086BF"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4F2CCAD" w14:textId="77777777" w:rsidR="002B350E" w:rsidRDefault="002B350E" w:rsidP="00485ADD">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11A2D727" w14:textId="25BBD7AD"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2F249F87" w14:textId="77777777" w:rsidR="002B350E" w:rsidRDefault="002B350E" w:rsidP="00485ADD">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2B08C5E7" w14:textId="6B7D6EB1"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0A9CE9D1" w14:textId="77777777" w:rsidR="002B350E" w:rsidRDefault="002B350E" w:rsidP="00485ADD">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40C2A18F" w14:textId="0D9D0548" w:rsidR="002B350E" w:rsidRDefault="002B350E" w:rsidP="00485ADD">
            <w:pPr>
              <w:jc w:val="right"/>
              <w:rPr>
                <w:rFonts w:ascii="Calibri Light" w:hAnsi="Calibri Light" w:cs="Arial"/>
                <w:sz w:val="22"/>
                <w:szCs w:val="22"/>
              </w:rPr>
            </w:pPr>
            <w:r>
              <w:rPr>
                <w:rFonts w:ascii="Calibri Light" w:hAnsi="Calibri Light" w:cs="Arial"/>
                <w:sz w:val="22"/>
                <w:szCs w:val="22"/>
              </w:rPr>
              <w:t xml:space="preserve">                    -   </w:t>
            </w:r>
          </w:p>
        </w:tc>
      </w:tr>
      <w:tr w:rsidR="00263AF8" w14:paraId="5A792757" w14:textId="77777777" w:rsidTr="00C37A27">
        <w:trPr>
          <w:trHeight w:val="283"/>
        </w:trPr>
        <w:tc>
          <w:tcPr>
            <w:tcW w:w="3481" w:type="dxa"/>
            <w:tcBorders>
              <w:top w:val="nil"/>
              <w:left w:val="nil"/>
              <w:bottom w:val="nil"/>
              <w:right w:val="nil"/>
            </w:tcBorders>
            <w:shd w:val="clear" w:color="auto" w:fill="auto"/>
            <w:noWrap/>
            <w:vAlign w:val="bottom"/>
            <w:hideMark/>
          </w:tcPr>
          <w:p w14:paraId="37DE93A6" w14:textId="77777777" w:rsidR="002B350E" w:rsidRDefault="002B350E">
            <w:pPr>
              <w:rPr>
                <w:rFonts w:ascii="Calibri Light" w:hAnsi="Calibri Light" w:cs="Arial"/>
                <w:sz w:val="22"/>
                <w:szCs w:val="22"/>
              </w:rPr>
            </w:pPr>
            <w:r>
              <w:rPr>
                <w:rFonts w:ascii="Calibri Light" w:hAnsi="Calibri Light" w:cs="Arial"/>
                <w:sz w:val="22"/>
                <w:szCs w:val="22"/>
              </w:rPr>
              <w:t>Transfer to fair value reserve</w:t>
            </w:r>
          </w:p>
        </w:tc>
        <w:tc>
          <w:tcPr>
            <w:tcW w:w="236" w:type="dxa"/>
            <w:tcBorders>
              <w:top w:val="nil"/>
              <w:left w:val="nil"/>
              <w:bottom w:val="nil"/>
              <w:right w:val="nil"/>
            </w:tcBorders>
            <w:shd w:val="clear" w:color="auto" w:fill="auto"/>
            <w:noWrap/>
            <w:vAlign w:val="bottom"/>
            <w:hideMark/>
          </w:tcPr>
          <w:p w14:paraId="70D30FAF" w14:textId="77777777" w:rsidR="002B350E" w:rsidRDefault="002B350E">
            <w:pPr>
              <w:rPr>
                <w:rFonts w:ascii="Calibri Light" w:hAnsi="Calibri Light" w:cs="Arial"/>
                <w:sz w:val="22"/>
                <w:szCs w:val="22"/>
              </w:rPr>
            </w:pPr>
          </w:p>
        </w:tc>
        <w:tc>
          <w:tcPr>
            <w:tcW w:w="1304" w:type="dxa"/>
            <w:tcBorders>
              <w:top w:val="nil"/>
              <w:left w:val="nil"/>
              <w:bottom w:val="nil"/>
              <w:right w:val="nil"/>
            </w:tcBorders>
            <w:shd w:val="clear" w:color="auto" w:fill="auto"/>
            <w:noWrap/>
            <w:vAlign w:val="bottom"/>
            <w:hideMark/>
          </w:tcPr>
          <w:p w14:paraId="6C0D983E" w14:textId="2F2D19BE"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60968379" w14:textId="77777777" w:rsidR="002B350E" w:rsidRDefault="002B350E" w:rsidP="00AD66E1">
            <w:pPr>
              <w:jc w:val="right"/>
              <w:rPr>
                <w:rFonts w:ascii="Calibri Light" w:hAnsi="Calibri Light" w:cs="Arial"/>
                <w:sz w:val="22"/>
                <w:szCs w:val="22"/>
              </w:rPr>
            </w:pPr>
          </w:p>
        </w:tc>
        <w:tc>
          <w:tcPr>
            <w:tcW w:w="1229" w:type="dxa"/>
            <w:tcBorders>
              <w:top w:val="nil"/>
              <w:left w:val="nil"/>
              <w:bottom w:val="nil"/>
              <w:right w:val="nil"/>
            </w:tcBorders>
            <w:shd w:val="clear" w:color="auto" w:fill="auto"/>
            <w:noWrap/>
            <w:vAlign w:val="bottom"/>
            <w:hideMark/>
          </w:tcPr>
          <w:p w14:paraId="093EAA07" w14:textId="2126C57A"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440D85B1" w14:textId="77777777" w:rsidR="002B350E" w:rsidRDefault="002B350E" w:rsidP="001F19C8">
            <w:pPr>
              <w:jc w:val="right"/>
              <w:rPr>
                <w:rFonts w:ascii="Calibri Light" w:hAnsi="Calibri Light" w:cs="Arial"/>
                <w:sz w:val="22"/>
                <w:szCs w:val="22"/>
              </w:rPr>
            </w:pPr>
          </w:p>
        </w:tc>
        <w:tc>
          <w:tcPr>
            <w:tcW w:w="1349" w:type="dxa"/>
            <w:tcBorders>
              <w:top w:val="nil"/>
              <w:left w:val="nil"/>
              <w:bottom w:val="nil"/>
              <w:right w:val="nil"/>
            </w:tcBorders>
            <w:shd w:val="clear" w:color="auto" w:fill="auto"/>
            <w:noWrap/>
            <w:vAlign w:val="bottom"/>
            <w:hideMark/>
          </w:tcPr>
          <w:p w14:paraId="55CEA526" w14:textId="77777777" w:rsidR="002B350E" w:rsidRDefault="002B350E" w:rsidP="00AD66E1">
            <w:pPr>
              <w:ind w:right="-57"/>
              <w:jc w:val="right"/>
              <w:rPr>
                <w:rFonts w:ascii="Calibri Light" w:hAnsi="Calibri Light" w:cs="Arial"/>
                <w:sz w:val="22"/>
                <w:szCs w:val="22"/>
              </w:rPr>
            </w:pPr>
            <w:r>
              <w:rPr>
                <w:rFonts w:ascii="Calibri Light" w:hAnsi="Calibri Light" w:cs="Arial"/>
                <w:color w:val="FF0000"/>
                <w:sz w:val="22"/>
                <w:szCs w:val="22"/>
              </w:rPr>
              <w:t>(6,067,267)</w:t>
            </w:r>
          </w:p>
        </w:tc>
        <w:tc>
          <w:tcPr>
            <w:tcW w:w="236" w:type="dxa"/>
            <w:tcBorders>
              <w:top w:val="nil"/>
              <w:left w:val="nil"/>
              <w:bottom w:val="nil"/>
              <w:right w:val="nil"/>
            </w:tcBorders>
            <w:shd w:val="clear" w:color="auto" w:fill="auto"/>
            <w:noWrap/>
            <w:vAlign w:val="bottom"/>
            <w:hideMark/>
          </w:tcPr>
          <w:p w14:paraId="73A29870" w14:textId="77777777" w:rsidR="002B350E" w:rsidRDefault="002B350E" w:rsidP="001F19C8">
            <w:pPr>
              <w:jc w:val="right"/>
              <w:rPr>
                <w:rFonts w:ascii="Calibri Light" w:hAnsi="Calibri Light" w:cs="Arial"/>
                <w:sz w:val="22"/>
                <w:szCs w:val="22"/>
              </w:rPr>
            </w:pPr>
          </w:p>
        </w:tc>
        <w:tc>
          <w:tcPr>
            <w:tcW w:w="1293" w:type="dxa"/>
            <w:tcBorders>
              <w:top w:val="nil"/>
              <w:left w:val="nil"/>
              <w:bottom w:val="nil"/>
              <w:right w:val="nil"/>
            </w:tcBorders>
            <w:shd w:val="clear" w:color="auto" w:fill="auto"/>
            <w:noWrap/>
            <w:vAlign w:val="bottom"/>
            <w:hideMark/>
          </w:tcPr>
          <w:p w14:paraId="3FBF07A2" w14:textId="0CB142E6"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1E94B0F0" w14:textId="77777777" w:rsidR="002B350E" w:rsidRDefault="002B350E" w:rsidP="00AD66E1">
            <w:pPr>
              <w:jc w:val="right"/>
              <w:rPr>
                <w:rFonts w:ascii="Calibri Light" w:hAnsi="Calibri Light" w:cs="Arial"/>
                <w:sz w:val="22"/>
                <w:szCs w:val="22"/>
              </w:rPr>
            </w:pPr>
          </w:p>
        </w:tc>
        <w:tc>
          <w:tcPr>
            <w:tcW w:w="1124" w:type="dxa"/>
            <w:tcBorders>
              <w:top w:val="nil"/>
              <w:left w:val="nil"/>
              <w:bottom w:val="nil"/>
              <w:right w:val="nil"/>
            </w:tcBorders>
            <w:shd w:val="clear" w:color="auto" w:fill="auto"/>
            <w:noWrap/>
            <w:vAlign w:val="bottom"/>
            <w:hideMark/>
          </w:tcPr>
          <w:p w14:paraId="4954ADEB" w14:textId="7BFBF49A"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   </w:t>
            </w:r>
          </w:p>
        </w:tc>
        <w:tc>
          <w:tcPr>
            <w:tcW w:w="236" w:type="dxa"/>
            <w:tcBorders>
              <w:top w:val="nil"/>
              <w:left w:val="nil"/>
              <w:bottom w:val="nil"/>
              <w:right w:val="nil"/>
            </w:tcBorders>
            <w:shd w:val="clear" w:color="auto" w:fill="auto"/>
            <w:noWrap/>
            <w:vAlign w:val="bottom"/>
            <w:hideMark/>
          </w:tcPr>
          <w:p w14:paraId="50A0FC31" w14:textId="77777777" w:rsidR="002B350E" w:rsidRDefault="002B350E" w:rsidP="00AD66E1">
            <w:pPr>
              <w:jc w:val="right"/>
              <w:rPr>
                <w:rFonts w:ascii="Calibri Light" w:hAnsi="Calibri Light" w:cs="Arial"/>
                <w:sz w:val="22"/>
                <w:szCs w:val="22"/>
              </w:rPr>
            </w:pPr>
          </w:p>
        </w:tc>
        <w:tc>
          <w:tcPr>
            <w:tcW w:w="1236" w:type="dxa"/>
            <w:tcBorders>
              <w:top w:val="nil"/>
              <w:left w:val="nil"/>
              <w:bottom w:val="nil"/>
              <w:right w:val="nil"/>
            </w:tcBorders>
            <w:shd w:val="clear" w:color="auto" w:fill="auto"/>
            <w:noWrap/>
            <w:vAlign w:val="bottom"/>
            <w:hideMark/>
          </w:tcPr>
          <w:p w14:paraId="4AF7CC40" w14:textId="65294858"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6,067,267 </w:t>
            </w:r>
          </w:p>
        </w:tc>
        <w:tc>
          <w:tcPr>
            <w:tcW w:w="236" w:type="dxa"/>
            <w:tcBorders>
              <w:top w:val="nil"/>
              <w:left w:val="nil"/>
              <w:bottom w:val="nil"/>
              <w:right w:val="nil"/>
            </w:tcBorders>
            <w:shd w:val="clear" w:color="auto" w:fill="auto"/>
            <w:noWrap/>
            <w:vAlign w:val="bottom"/>
            <w:hideMark/>
          </w:tcPr>
          <w:p w14:paraId="1F639509" w14:textId="77777777" w:rsidR="002B350E" w:rsidRDefault="002B350E" w:rsidP="00AD66E1">
            <w:pPr>
              <w:jc w:val="right"/>
              <w:rPr>
                <w:rFonts w:ascii="Calibri Light" w:hAnsi="Calibri Light" w:cs="Arial"/>
                <w:sz w:val="22"/>
                <w:szCs w:val="22"/>
              </w:rPr>
            </w:pPr>
          </w:p>
        </w:tc>
        <w:tc>
          <w:tcPr>
            <w:tcW w:w="1404" w:type="dxa"/>
            <w:tcBorders>
              <w:top w:val="nil"/>
              <w:left w:val="nil"/>
              <w:bottom w:val="nil"/>
              <w:right w:val="nil"/>
            </w:tcBorders>
            <w:shd w:val="clear" w:color="auto" w:fill="auto"/>
            <w:noWrap/>
            <w:vAlign w:val="bottom"/>
            <w:hideMark/>
          </w:tcPr>
          <w:p w14:paraId="4A592F52" w14:textId="723210BA"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   </w:t>
            </w:r>
          </w:p>
        </w:tc>
      </w:tr>
      <w:tr w:rsidR="00263AF8" w14:paraId="4A19E310" w14:textId="77777777" w:rsidTr="00C37A27">
        <w:trPr>
          <w:trHeight w:val="283"/>
        </w:trPr>
        <w:tc>
          <w:tcPr>
            <w:tcW w:w="3481" w:type="dxa"/>
            <w:tcBorders>
              <w:top w:val="nil"/>
              <w:left w:val="nil"/>
              <w:bottom w:val="nil"/>
              <w:right w:val="nil"/>
            </w:tcBorders>
            <w:shd w:val="clear" w:color="auto" w:fill="auto"/>
            <w:noWrap/>
            <w:vAlign w:val="bottom"/>
            <w:hideMark/>
          </w:tcPr>
          <w:p w14:paraId="74E72A8A" w14:textId="77777777" w:rsidR="002B350E" w:rsidRDefault="002B350E">
            <w:pPr>
              <w:rPr>
                <w:rFonts w:ascii="Calibri Light" w:hAnsi="Calibri Light" w:cs="Arial"/>
                <w:b/>
                <w:bCs/>
                <w:sz w:val="22"/>
                <w:szCs w:val="22"/>
              </w:rPr>
            </w:pPr>
            <w:r>
              <w:rPr>
                <w:rFonts w:ascii="Calibri Light" w:hAnsi="Calibri Light" w:cs="Arial"/>
                <w:b/>
                <w:bCs/>
                <w:sz w:val="22"/>
                <w:szCs w:val="22"/>
              </w:rPr>
              <w:t>At 31 December 2021</w:t>
            </w:r>
          </w:p>
        </w:tc>
        <w:tc>
          <w:tcPr>
            <w:tcW w:w="236" w:type="dxa"/>
            <w:tcBorders>
              <w:top w:val="nil"/>
              <w:left w:val="nil"/>
              <w:bottom w:val="nil"/>
              <w:right w:val="nil"/>
            </w:tcBorders>
            <w:shd w:val="clear" w:color="auto" w:fill="auto"/>
            <w:noWrap/>
            <w:vAlign w:val="bottom"/>
            <w:hideMark/>
          </w:tcPr>
          <w:p w14:paraId="6357EC96" w14:textId="77777777" w:rsidR="002B350E" w:rsidRDefault="002B350E">
            <w:pPr>
              <w:rPr>
                <w:rFonts w:ascii="Calibri Light" w:hAnsi="Calibri Light" w:cs="Arial"/>
                <w:b/>
                <w:bCs/>
                <w:sz w:val="22"/>
                <w:szCs w:val="22"/>
              </w:rPr>
            </w:pPr>
          </w:p>
        </w:tc>
        <w:tc>
          <w:tcPr>
            <w:tcW w:w="1304" w:type="dxa"/>
            <w:tcBorders>
              <w:top w:val="single" w:sz="4" w:space="0" w:color="auto"/>
              <w:left w:val="nil"/>
              <w:bottom w:val="double" w:sz="6" w:space="0" w:color="auto"/>
              <w:right w:val="nil"/>
            </w:tcBorders>
            <w:shd w:val="clear" w:color="auto" w:fill="auto"/>
            <w:noWrap/>
            <w:vAlign w:val="bottom"/>
            <w:hideMark/>
          </w:tcPr>
          <w:p w14:paraId="3F1C2B75" w14:textId="3FD55CE7"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7,124,355 </w:t>
            </w:r>
          </w:p>
        </w:tc>
        <w:tc>
          <w:tcPr>
            <w:tcW w:w="236" w:type="dxa"/>
            <w:tcBorders>
              <w:top w:val="nil"/>
              <w:left w:val="nil"/>
              <w:bottom w:val="nil"/>
              <w:right w:val="nil"/>
            </w:tcBorders>
            <w:shd w:val="clear" w:color="auto" w:fill="auto"/>
            <w:noWrap/>
            <w:vAlign w:val="bottom"/>
            <w:hideMark/>
          </w:tcPr>
          <w:p w14:paraId="36BBEFBC" w14:textId="77777777" w:rsidR="002B350E" w:rsidRDefault="002B350E" w:rsidP="00AD66E1">
            <w:pPr>
              <w:jc w:val="right"/>
              <w:rPr>
                <w:rFonts w:ascii="Calibri Light" w:hAnsi="Calibri Light" w:cs="Arial"/>
                <w:sz w:val="22"/>
                <w:szCs w:val="22"/>
              </w:rPr>
            </w:pPr>
          </w:p>
        </w:tc>
        <w:tc>
          <w:tcPr>
            <w:tcW w:w="1229" w:type="dxa"/>
            <w:tcBorders>
              <w:top w:val="single" w:sz="4" w:space="0" w:color="auto"/>
              <w:left w:val="nil"/>
              <w:bottom w:val="double" w:sz="6" w:space="0" w:color="auto"/>
              <w:right w:val="nil"/>
            </w:tcBorders>
            <w:shd w:val="clear" w:color="auto" w:fill="auto"/>
            <w:noWrap/>
            <w:vAlign w:val="bottom"/>
            <w:hideMark/>
          </w:tcPr>
          <w:p w14:paraId="62E8DD08" w14:textId="65F3D325"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11,599,333 </w:t>
            </w:r>
          </w:p>
        </w:tc>
        <w:tc>
          <w:tcPr>
            <w:tcW w:w="236" w:type="dxa"/>
            <w:tcBorders>
              <w:top w:val="nil"/>
              <w:left w:val="nil"/>
              <w:bottom w:val="nil"/>
              <w:right w:val="nil"/>
            </w:tcBorders>
            <w:shd w:val="clear" w:color="auto" w:fill="auto"/>
            <w:noWrap/>
            <w:vAlign w:val="bottom"/>
            <w:hideMark/>
          </w:tcPr>
          <w:p w14:paraId="1A745EAA" w14:textId="77777777" w:rsidR="002B350E" w:rsidRDefault="002B350E" w:rsidP="001F19C8">
            <w:pPr>
              <w:jc w:val="right"/>
              <w:rPr>
                <w:rFonts w:ascii="Calibri Light" w:hAnsi="Calibri Light" w:cs="Arial"/>
                <w:sz w:val="22"/>
                <w:szCs w:val="22"/>
              </w:rPr>
            </w:pPr>
          </w:p>
        </w:tc>
        <w:tc>
          <w:tcPr>
            <w:tcW w:w="1349" w:type="dxa"/>
            <w:tcBorders>
              <w:top w:val="single" w:sz="4" w:space="0" w:color="auto"/>
              <w:left w:val="nil"/>
              <w:bottom w:val="double" w:sz="6" w:space="0" w:color="auto"/>
              <w:right w:val="nil"/>
            </w:tcBorders>
            <w:shd w:val="clear" w:color="auto" w:fill="auto"/>
            <w:noWrap/>
            <w:vAlign w:val="bottom"/>
            <w:hideMark/>
          </w:tcPr>
          <w:p w14:paraId="7D6062AA" w14:textId="77777777" w:rsidR="002B350E" w:rsidRDefault="002B350E" w:rsidP="00AD66E1">
            <w:pPr>
              <w:ind w:right="-57"/>
              <w:jc w:val="right"/>
              <w:rPr>
                <w:rFonts w:ascii="Calibri Light" w:hAnsi="Calibri Light" w:cs="Arial"/>
                <w:sz w:val="22"/>
                <w:szCs w:val="22"/>
              </w:rPr>
            </w:pPr>
            <w:r>
              <w:rPr>
                <w:rFonts w:ascii="Calibri Light" w:hAnsi="Calibri Light" w:cs="Arial"/>
                <w:color w:val="FF0000"/>
                <w:sz w:val="22"/>
                <w:szCs w:val="22"/>
              </w:rPr>
              <w:t>(18,748,005)</w:t>
            </w:r>
          </w:p>
        </w:tc>
        <w:tc>
          <w:tcPr>
            <w:tcW w:w="236" w:type="dxa"/>
            <w:tcBorders>
              <w:top w:val="nil"/>
              <w:left w:val="nil"/>
              <w:bottom w:val="nil"/>
              <w:right w:val="nil"/>
            </w:tcBorders>
            <w:shd w:val="clear" w:color="auto" w:fill="auto"/>
            <w:noWrap/>
            <w:vAlign w:val="bottom"/>
            <w:hideMark/>
          </w:tcPr>
          <w:p w14:paraId="75B61BD3" w14:textId="77777777" w:rsidR="002B350E" w:rsidRDefault="002B350E" w:rsidP="001F19C8">
            <w:pPr>
              <w:jc w:val="right"/>
              <w:rPr>
                <w:rFonts w:ascii="Calibri Light" w:hAnsi="Calibri Light" w:cs="Arial"/>
                <w:sz w:val="22"/>
                <w:szCs w:val="22"/>
              </w:rPr>
            </w:pPr>
          </w:p>
        </w:tc>
        <w:tc>
          <w:tcPr>
            <w:tcW w:w="1293" w:type="dxa"/>
            <w:tcBorders>
              <w:top w:val="single" w:sz="4" w:space="0" w:color="auto"/>
              <w:left w:val="nil"/>
              <w:bottom w:val="double" w:sz="6" w:space="0" w:color="auto"/>
              <w:right w:val="nil"/>
            </w:tcBorders>
            <w:shd w:val="clear" w:color="auto" w:fill="auto"/>
            <w:noWrap/>
            <w:vAlign w:val="bottom"/>
            <w:hideMark/>
          </w:tcPr>
          <w:p w14:paraId="66566875" w14:textId="0E7E2C92"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43,333 </w:t>
            </w:r>
          </w:p>
        </w:tc>
        <w:tc>
          <w:tcPr>
            <w:tcW w:w="236" w:type="dxa"/>
            <w:tcBorders>
              <w:top w:val="nil"/>
              <w:left w:val="nil"/>
              <w:bottom w:val="nil"/>
              <w:right w:val="nil"/>
            </w:tcBorders>
            <w:shd w:val="clear" w:color="auto" w:fill="auto"/>
            <w:noWrap/>
            <w:vAlign w:val="bottom"/>
            <w:hideMark/>
          </w:tcPr>
          <w:p w14:paraId="1BF2459F" w14:textId="77777777" w:rsidR="002B350E" w:rsidRDefault="002B350E" w:rsidP="00AD66E1">
            <w:pPr>
              <w:jc w:val="right"/>
              <w:rPr>
                <w:rFonts w:ascii="Calibri Light" w:hAnsi="Calibri Light" w:cs="Arial"/>
                <w:sz w:val="22"/>
                <w:szCs w:val="22"/>
              </w:rPr>
            </w:pPr>
          </w:p>
        </w:tc>
        <w:tc>
          <w:tcPr>
            <w:tcW w:w="1124" w:type="dxa"/>
            <w:tcBorders>
              <w:top w:val="single" w:sz="4" w:space="0" w:color="auto"/>
              <w:left w:val="nil"/>
              <w:bottom w:val="double" w:sz="6" w:space="0" w:color="auto"/>
              <w:right w:val="nil"/>
            </w:tcBorders>
            <w:shd w:val="clear" w:color="auto" w:fill="auto"/>
            <w:noWrap/>
            <w:vAlign w:val="bottom"/>
            <w:hideMark/>
          </w:tcPr>
          <w:p w14:paraId="38659491" w14:textId="56007370"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2,416,667 </w:t>
            </w:r>
          </w:p>
        </w:tc>
        <w:tc>
          <w:tcPr>
            <w:tcW w:w="236" w:type="dxa"/>
            <w:tcBorders>
              <w:top w:val="nil"/>
              <w:left w:val="nil"/>
              <w:bottom w:val="nil"/>
              <w:right w:val="nil"/>
            </w:tcBorders>
            <w:shd w:val="clear" w:color="auto" w:fill="auto"/>
            <w:noWrap/>
            <w:vAlign w:val="bottom"/>
            <w:hideMark/>
          </w:tcPr>
          <w:p w14:paraId="2C01542C" w14:textId="77777777" w:rsidR="002B350E" w:rsidRDefault="002B350E" w:rsidP="00AD66E1">
            <w:pPr>
              <w:jc w:val="right"/>
              <w:rPr>
                <w:rFonts w:ascii="Calibri Light" w:hAnsi="Calibri Light" w:cs="Arial"/>
                <w:sz w:val="22"/>
                <w:szCs w:val="22"/>
              </w:rPr>
            </w:pPr>
          </w:p>
        </w:tc>
        <w:tc>
          <w:tcPr>
            <w:tcW w:w="1236" w:type="dxa"/>
            <w:tcBorders>
              <w:top w:val="single" w:sz="4" w:space="0" w:color="auto"/>
              <w:left w:val="nil"/>
              <w:bottom w:val="double" w:sz="6" w:space="0" w:color="auto"/>
              <w:right w:val="nil"/>
            </w:tcBorders>
            <w:shd w:val="clear" w:color="auto" w:fill="auto"/>
            <w:noWrap/>
            <w:vAlign w:val="bottom"/>
            <w:hideMark/>
          </w:tcPr>
          <w:p w14:paraId="4A06D920" w14:textId="17883A5B"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6,067,267 </w:t>
            </w:r>
          </w:p>
        </w:tc>
        <w:tc>
          <w:tcPr>
            <w:tcW w:w="236" w:type="dxa"/>
            <w:tcBorders>
              <w:top w:val="nil"/>
              <w:left w:val="nil"/>
              <w:bottom w:val="nil"/>
              <w:right w:val="nil"/>
            </w:tcBorders>
            <w:shd w:val="clear" w:color="auto" w:fill="auto"/>
            <w:noWrap/>
            <w:vAlign w:val="bottom"/>
            <w:hideMark/>
          </w:tcPr>
          <w:p w14:paraId="03C482DC" w14:textId="77777777" w:rsidR="002B350E" w:rsidRDefault="002B350E" w:rsidP="00AD66E1">
            <w:pPr>
              <w:jc w:val="right"/>
              <w:rPr>
                <w:rFonts w:ascii="Calibri Light" w:hAnsi="Calibri Light" w:cs="Arial"/>
                <w:sz w:val="22"/>
                <w:szCs w:val="22"/>
              </w:rPr>
            </w:pPr>
          </w:p>
        </w:tc>
        <w:tc>
          <w:tcPr>
            <w:tcW w:w="1404" w:type="dxa"/>
            <w:tcBorders>
              <w:top w:val="single" w:sz="4" w:space="0" w:color="auto"/>
              <w:left w:val="nil"/>
              <w:bottom w:val="double" w:sz="6" w:space="0" w:color="auto"/>
              <w:right w:val="nil"/>
            </w:tcBorders>
            <w:shd w:val="clear" w:color="auto" w:fill="auto"/>
            <w:noWrap/>
            <w:vAlign w:val="bottom"/>
            <w:hideMark/>
          </w:tcPr>
          <w:p w14:paraId="24DCEA6B" w14:textId="77777777" w:rsidR="002B350E" w:rsidRDefault="002B350E" w:rsidP="00AD66E1">
            <w:pPr>
              <w:jc w:val="right"/>
              <w:rPr>
                <w:rFonts w:ascii="Calibri Light" w:hAnsi="Calibri Light" w:cs="Arial"/>
                <w:sz w:val="22"/>
                <w:szCs w:val="22"/>
              </w:rPr>
            </w:pPr>
            <w:r>
              <w:rPr>
                <w:rFonts w:ascii="Calibri Light" w:hAnsi="Calibri Light" w:cs="Arial"/>
                <w:sz w:val="22"/>
                <w:szCs w:val="22"/>
              </w:rPr>
              <w:t xml:space="preserve">     8,502,950 </w:t>
            </w:r>
          </w:p>
        </w:tc>
      </w:tr>
    </w:tbl>
    <w:p w14:paraId="64400458" w14:textId="77777777" w:rsidR="00194E1A" w:rsidRPr="006645AF" w:rsidRDefault="00194E1A" w:rsidP="00C91959">
      <w:pPr>
        <w:rPr>
          <w:rFonts w:ascii="Calibri Light" w:hAnsi="Calibri Light" w:cs="Arial"/>
          <w:b/>
          <w:sz w:val="22"/>
          <w:szCs w:val="22"/>
        </w:rPr>
        <w:sectPr w:rsidR="00194E1A" w:rsidRPr="006645AF" w:rsidSect="00C37A27">
          <w:pgSz w:w="15840" w:h="12240" w:orient="landscape"/>
          <w:pgMar w:top="567" w:right="1440" w:bottom="1418" w:left="567" w:header="709" w:footer="709" w:gutter="0"/>
          <w:cols w:space="708"/>
          <w:docGrid w:linePitch="360"/>
        </w:sectPr>
      </w:pPr>
    </w:p>
    <w:p w14:paraId="64400459" w14:textId="39D8C5E1" w:rsidR="00C91959" w:rsidRPr="006645AF" w:rsidRDefault="00DE4532" w:rsidP="00C91959">
      <w:pPr>
        <w:rPr>
          <w:rFonts w:ascii="Calibri Light" w:hAnsi="Calibri Light" w:cs="Calibri Light"/>
          <w:b/>
          <w:sz w:val="22"/>
          <w:szCs w:val="22"/>
        </w:rPr>
      </w:pPr>
      <w:r w:rsidRPr="006645AF">
        <w:rPr>
          <w:rFonts w:ascii="Calibri Light" w:hAnsi="Calibri Light" w:cs="Calibri Light"/>
          <w:b/>
          <w:sz w:val="22"/>
          <w:szCs w:val="22"/>
        </w:rPr>
        <w:lastRenderedPageBreak/>
        <w:t>S</w:t>
      </w:r>
      <w:r w:rsidR="00C91959" w:rsidRPr="006645AF">
        <w:rPr>
          <w:rFonts w:ascii="Calibri Light" w:hAnsi="Calibri Light" w:cs="Calibri Light"/>
          <w:b/>
          <w:sz w:val="22"/>
          <w:szCs w:val="22"/>
        </w:rPr>
        <w:t>tatement</w:t>
      </w:r>
      <w:r w:rsidRPr="006645AF">
        <w:rPr>
          <w:rFonts w:ascii="Calibri Light" w:hAnsi="Calibri Light" w:cs="Calibri Light"/>
          <w:b/>
          <w:sz w:val="22"/>
          <w:szCs w:val="22"/>
        </w:rPr>
        <w:t xml:space="preserve"> of Cash Flows</w:t>
      </w:r>
    </w:p>
    <w:p w14:paraId="6440045A" w14:textId="09196DD7" w:rsidR="00C91959" w:rsidRDefault="00C91959" w:rsidP="00C91959">
      <w:pPr>
        <w:rPr>
          <w:rFonts w:ascii="Calibri Light" w:hAnsi="Calibri Light" w:cs="Calibri Light"/>
          <w:b/>
          <w:sz w:val="22"/>
          <w:szCs w:val="22"/>
        </w:rPr>
      </w:pPr>
      <w:r w:rsidRPr="006645AF">
        <w:rPr>
          <w:rFonts w:ascii="Calibri Light" w:hAnsi="Calibri Light" w:cs="Calibri Light"/>
          <w:b/>
          <w:sz w:val="22"/>
          <w:szCs w:val="22"/>
        </w:rPr>
        <w:t xml:space="preserve">For the six months ended </w:t>
      </w:r>
      <w:r w:rsidR="00486FD1" w:rsidRPr="006645AF">
        <w:rPr>
          <w:rFonts w:ascii="Calibri Light" w:hAnsi="Calibri Light" w:cs="Calibri Light"/>
          <w:b/>
          <w:sz w:val="22"/>
          <w:szCs w:val="22"/>
        </w:rPr>
        <w:t>3</w:t>
      </w:r>
      <w:r w:rsidR="00AC056F" w:rsidRPr="006645AF">
        <w:rPr>
          <w:rFonts w:ascii="Calibri Light" w:hAnsi="Calibri Light" w:cs="Calibri Light"/>
          <w:b/>
          <w:sz w:val="22"/>
          <w:szCs w:val="22"/>
        </w:rPr>
        <w:t>0</w:t>
      </w:r>
      <w:r w:rsidR="00486FD1" w:rsidRPr="006645AF">
        <w:rPr>
          <w:rFonts w:ascii="Calibri Light" w:hAnsi="Calibri Light" w:cs="Calibri Light"/>
          <w:b/>
          <w:sz w:val="22"/>
          <w:szCs w:val="22"/>
        </w:rPr>
        <w:t xml:space="preserve"> Ju</w:t>
      </w:r>
      <w:r w:rsidR="00AC056F" w:rsidRPr="006645AF">
        <w:rPr>
          <w:rFonts w:ascii="Calibri Light" w:hAnsi="Calibri Light" w:cs="Calibri Light"/>
          <w:b/>
          <w:sz w:val="22"/>
          <w:szCs w:val="22"/>
        </w:rPr>
        <w:t>ne</w:t>
      </w:r>
      <w:r w:rsidR="00500D5C" w:rsidRPr="006645AF">
        <w:rPr>
          <w:rFonts w:ascii="Calibri Light" w:hAnsi="Calibri Light" w:cs="Calibri Light"/>
          <w:b/>
          <w:sz w:val="22"/>
          <w:szCs w:val="22"/>
        </w:rPr>
        <w:t xml:space="preserve"> 20</w:t>
      </w:r>
      <w:r w:rsidR="00FB3899" w:rsidRPr="006645AF">
        <w:rPr>
          <w:rFonts w:ascii="Calibri Light" w:hAnsi="Calibri Light" w:cs="Calibri Light"/>
          <w:b/>
          <w:sz w:val="22"/>
          <w:szCs w:val="22"/>
        </w:rPr>
        <w:t>2</w:t>
      </w:r>
      <w:r w:rsidR="000401B7">
        <w:rPr>
          <w:rFonts w:ascii="Calibri Light" w:hAnsi="Calibri Light" w:cs="Calibri Light"/>
          <w:b/>
          <w:sz w:val="22"/>
          <w:szCs w:val="22"/>
        </w:rPr>
        <w:t>2</w:t>
      </w:r>
    </w:p>
    <w:tbl>
      <w:tblPr>
        <w:tblW w:w="10020" w:type="dxa"/>
        <w:tblLook w:val="04A0" w:firstRow="1" w:lastRow="0" w:firstColumn="1" w:lastColumn="0" w:noHBand="0" w:noVBand="1"/>
      </w:tblPr>
      <w:tblGrid>
        <w:gridCol w:w="4920"/>
        <w:gridCol w:w="222"/>
        <w:gridCol w:w="1540"/>
        <w:gridCol w:w="222"/>
        <w:gridCol w:w="1480"/>
        <w:gridCol w:w="222"/>
        <w:gridCol w:w="1540"/>
      </w:tblGrid>
      <w:tr w:rsidR="00F933E1" w14:paraId="0F6DB1F2" w14:textId="77777777" w:rsidTr="00F933E1">
        <w:trPr>
          <w:trHeight w:val="600"/>
        </w:trPr>
        <w:tc>
          <w:tcPr>
            <w:tcW w:w="4920" w:type="dxa"/>
            <w:tcBorders>
              <w:top w:val="nil"/>
              <w:left w:val="nil"/>
              <w:bottom w:val="nil"/>
              <w:right w:val="nil"/>
            </w:tcBorders>
            <w:shd w:val="clear" w:color="auto" w:fill="auto"/>
            <w:noWrap/>
            <w:vAlign w:val="bottom"/>
            <w:hideMark/>
          </w:tcPr>
          <w:p w14:paraId="1A9D2FCA" w14:textId="77777777" w:rsidR="00F933E1" w:rsidRDefault="00F933E1">
            <w:pPr>
              <w:rPr>
                <w:sz w:val="20"/>
                <w:szCs w:val="20"/>
                <w:lang w:eastAsia="en-GB"/>
              </w:rPr>
            </w:pPr>
          </w:p>
        </w:tc>
        <w:tc>
          <w:tcPr>
            <w:tcW w:w="180" w:type="dxa"/>
            <w:tcBorders>
              <w:top w:val="nil"/>
              <w:left w:val="nil"/>
              <w:bottom w:val="nil"/>
              <w:right w:val="nil"/>
            </w:tcBorders>
            <w:shd w:val="clear" w:color="auto" w:fill="auto"/>
            <w:noWrap/>
            <w:vAlign w:val="bottom"/>
            <w:hideMark/>
          </w:tcPr>
          <w:p w14:paraId="1B3F172D" w14:textId="77777777" w:rsidR="00F933E1" w:rsidRDefault="00F933E1">
            <w:pPr>
              <w:rPr>
                <w:sz w:val="20"/>
                <w:szCs w:val="20"/>
              </w:rPr>
            </w:pPr>
          </w:p>
        </w:tc>
        <w:tc>
          <w:tcPr>
            <w:tcW w:w="1540" w:type="dxa"/>
            <w:tcBorders>
              <w:top w:val="nil"/>
              <w:left w:val="nil"/>
              <w:bottom w:val="nil"/>
              <w:right w:val="nil"/>
            </w:tcBorders>
            <w:shd w:val="clear" w:color="auto" w:fill="auto"/>
            <w:vAlign w:val="bottom"/>
            <w:hideMark/>
          </w:tcPr>
          <w:p w14:paraId="5E68D510"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80" w:type="dxa"/>
            <w:tcBorders>
              <w:top w:val="nil"/>
              <w:left w:val="nil"/>
              <w:bottom w:val="nil"/>
              <w:right w:val="nil"/>
            </w:tcBorders>
            <w:shd w:val="clear" w:color="auto" w:fill="auto"/>
            <w:noWrap/>
            <w:vAlign w:val="bottom"/>
            <w:hideMark/>
          </w:tcPr>
          <w:p w14:paraId="76C2BE18" w14:textId="77777777" w:rsidR="00F933E1" w:rsidRDefault="00F933E1">
            <w:pPr>
              <w:jc w:val="right"/>
              <w:rPr>
                <w:rFonts w:ascii="Calibri Light" w:hAnsi="Calibri Light" w:cs="Arial"/>
                <w:b/>
                <w:bCs/>
                <w:sz w:val="22"/>
                <w:szCs w:val="22"/>
              </w:rPr>
            </w:pPr>
          </w:p>
        </w:tc>
        <w:tc>
          <w:tcPr>
            <w:tcW w:w="1480" w:type="dxa"/>
            <w:tcBorders>
              <w:top w:val="nil"/>
              <w:left w:val="nil"/>
              <w:bottom w:val="nil"/>
              <w:right w:val="nil"/>
            </w:tcBorders>
            <w:shd w:val="clear" w:color="auto" w:fill="auto"/>
            <w:vAlign w:val="bottom"/>
            <w:hideMark/>
          </w:tcPr>
          <w:p w14:paraId="2803A584"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80" w:type="dxa"/>
            <w:tcBorders>
              <w:top w:val="nil"/>
              <w:left w:val="nil"/>
              <w:bottom w:val="nil"/>
              <w:right w:val="nil"/>
            </w:tcBorders>
            <w:shd w:val="clear" w:color="auto" w:fill="auto"/>
            <w:noWrap/>
            <w:vAlign w:val="bottom"/>
            <w:hideMark/>
          </w:tcPr>
          <w:p w14:paraId="2EF18A1A" w14:textId="77777777" w:rsidR="00F933E1" w:rsidRDefault="00F933E1">
            <w:pPr>
              <w:jc w:val="right"/>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034BD66C"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Year ended</w:t>
            </w:r>
          </w:p>
        </w:tc>
      </w:tr>
      <w:tr w:rsidR="00F933E1" w14:paraId="1FA588DC" w14:textId="77777777" w:rsidTr="00F933E1">
        <w:trPr>
          <w:trHeight w:val="300"/>
        </w:trPr>
        <w:tc>
          <w:tcPr>
            <w:tcW w:w="4920" w:type="dxa"/>
            <w:tcBorders>
              <w:top w:val="nil"/>
              <w:left w:val="nil"/>
              <w:bottom w:val="nil"/>
              <w:right w:val="nil"/>
            </w:tcBorders>
            <w:shd w:val="clear" w:color="auto" w:fill="auto"/>
            <w:noWrap/>
            <w:vAlign w:val="bottom"/>
            <w:hideMark/>
          </w:tcPr>
          <w:p w14:paraId="7E505A0B" w14:textId="77777777" w:rsidR="00F933E1" w:rsidRDefault="00F933E1">
            <w:pPr>
              <w:jc w:val="right"/>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6B9B53A0" w14:textId="77777777" w:rsidR="00F933E1" w:rsidRDefault="00F933E1">
            <w:pPr>
              <w:rPr>
                <w:sz w:val="20"/>
                <w:szCs w:val="20"/>
              </w:rPr>
            </w:pPr>
          </w:p>
        </w:tc>
        <w:tc>
          <w:tcPr>
            <w:tcW w:w="1540" w:type="dxa"/>
            <w:tcBorders>
              <w:top w:val="nil"/>
              <w:left w:val="nil"/>
              <w:bottom w:val="single" w:sz="4" w:space="0" w:color="auto"/>
              <w:right w:val="nil"/>
            </w:tcBorders>
            <w:shd w:val="clear" w:color="auto" w:fill="auto"/>
            <w:noWrap/>
            <w:vAlign w:val="bottom"/>
            <w:hideMark/>
          </w:tcPr>
          <w:p w14:paraId="40E4163D"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30 June</w:t>
            </w:r>
          </w:p>
        </w:tc>
        <w:tc>
          <w:tcPr>
            <w:tcW w:w="180" w:type="dxa"/>
            <w:tcBorders>
              <w:top w:val="nil"/>
              <w:left w:val="nil"/>
              <w:bottom w:val="nil"/>
              <w:right w:val="nil"/>
            </w:tcBorders>
            <w:shd w:val="clear" w:color="auto" w:fill="auto"/>
            <w:noWrap/>
            <w:vAlign w:val="bottom"/>
            <w:hideMark/>
          </w:tcPr>
          <w:p w14:paraId="0935F868" w14:textId="77777777" w:rsidR="00F933E1" w:rsidRDefault="00F933E1">
            <w:pPr>
              <w:jc w:val="right"/>
              <w:rPr>
                <w:rFonts w:ascii="Calibri Light" w:hAnsi="Calibri Light" w:cs="Arial"/>
                <w:b/>
                <w:bCs/>
                <w:sz w:val="22"/>
                <w:szCs w:val="22"/>
              </w:rPr>
            </w:pPr>
          </w:p>
        </w:tc>
        <w:tc>
          <w:tcPr>
            <w:tcW w:w="1480" w:type="dxa"/>
            <w:tcBorders>
              <w:top w:val="nil"/>
              <w:left w:val="nil"/>
              <w:bottom w:val="single" w:sz="4" w:space="0" w:color="auto"/>
              <w:right w:val="nil"/>
            </w:tcBorders>
            <w:shd w:val="clear" w:color="auto" w:fill="auto"/>
            <w:noWrap/>
            <w:vAlign w:val="bottom"/>
            <w:hideMark/>
          </w:tcPr>
          <w:p w14:paraId="768763E0"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30 June</w:t>
            </w:r>
          </w:p>
        </w:tc>
        <w:tc>
          <w:tcPr>
            <w:tcW w:w="180" w:type="dxa"/>
            <w:tcBorders>
              <w:top w:val="nil"/>
              <w:left w:val="nil"/>
              <w:bottom w:val="nil"/>
              <w:right w:val="nil"/>
            </w:tcBorders>
            <w:shd w:val="clear" w:color="auto" w:fill="auto"/>
            <w:noWrap/>
            <w:vAlign w:val="bottom"/>
            <w:hideMark/>
          </w:tcPr>
          <w:p w14:paraId="430F8E1F" w14:textId="77777777" w:rsidR="00F933E1" w:rsidRDefault="00F933E1">
            <w:pPr>
              <w:jc w:val="right"/>
              <w:rPr>
                <w:rFonts w:ascii="Calibri Light" w:hAnsi="Calibri Light" w:cs="Arial"/>
                <w:b/>
                <w:bCs/>
                <w:sz w:val="22"/>
                <w:szCs w:val="22"/>
              </w:rPr>
            </w:pPr>
          </w:p>
        </w:tc>
        <w:tc>
          <w:tcPr>
            <w:tcW w:w="1540" w:type="dxa"/>
            <w:tcBorders>
              <w:top w:val="nil"/>
              <w:left w:val="nil"/>
              <w:bottom w:val="single" w:sz="4" w:space="0" w:color="auto"/>
              <w:right w:val="nil"/>
            </w:tcBorders>
            <w:shd w:val="clear" w:color="auto" w:fill="auto"/>
            <w:noWrap/>
            <w:vAlign w:val="bottom"/>
            <w:hideMark/>
          </w:tcPr>
          <w:p w14:paraId="46CC1DF1" w14:textId="77777777" w:rsidR="00F933E1" w:rsidRDefault="00F933E1">
            <w:pPr>
              <w:jc w:val="right"/>
              <w:rPr>
                <w:rFonts w:ascii="Calibri Light" w:hAnsi="Calibri Light" w:cs="Arial"/>
                <w:b/>
                <w:bCs/>
                <w:sz w:val="22"/>
                <w:szCs w:val="22"/>
              </w:rPr>
            </w:pPr>
            <w:r>
              <w:rPr>
                <w:rFonts w:ascii="Calibri Light" w:hAnsi="Calibri Light" w:cs="Arial"/>
                <w:b/>
                <w:bCs/>
                <w:sz w:val="22"/>
                <w:szCs w:val="22"/>
              </w:rPr>
              <w:t>31 December</w:t>
            </w:r>
          </w:p>
        </w:tc>
      </w:tr>
      <w:tr w:rsidR="00F933E1" w14:paraId="793A528B" w14:textId="77777777" w:rsidTr="00F933E1">
        <w:trPr>
          <w:trHeight w:val="300"/>
        </w:trPr>
        <w:tc>
          <w:tcPr>
            <w:tcW w:w="4920" w:type="dxa"/>
            <w:tcBorders>
              <w:top w:val="nil"/>
              <w:left w:val="nil"/>
              <w:bottom w:val="nil"/>
              <w:right w:val="nil"/>
            </w:tcBorders>
            <w:shd w:val="clear" w:color="auto" w:fill="auto"/>
            <w:noWrap/>
            <w:vAlign w:val="bottom"/>
            <w:hideMark/>
          </w:tcPr>
          <w:p w14:paraId="2C801F63" w14:textId="77777777" w:rsidR="00F933E1" w:rsidRDefault="00F933E1">
            <w:pPr>
              <w:jc w:val="right"/>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4A40ED09"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37D24477" w14:textId="77777777" w:rsidR="00F933E1" w:rsidRDefault="00F933E1">
            <w:pPr>
              <w:jc w:val="right"/>
              <w:rPr>
                <w:rFonts w:ascii="Calibri Light" w:hAnsi="Calibri Light" w:cs="Arial"/>
                <w:sz w:val="22"/>
                <w:szCs w:val="22"/>
              </w:rPr>
            </w:pPr>
            <w:r>
              <w:rPr>
                <w:rFonts w:ascii="Calibri Light" w:hAnsi="Calibri Light" w:cs="Arial"/>
                <w:sz w:val="22"/>
                <w:szCs w:val="22"/>
              </w:rPr>
              <w:t>2022</w:t>
            </w:r>
          </w:p>
        </w:tc>
        <w:tc>
          <w:tcPr>
            <w:tcW w:w="180" w:type="dxa"/>
            <w:tcBorders>
              <w:top w:val="nil"/>
              <w:left w:val="nil"/>
              <w:bottom w:val="nil"/>
              <w:right w:val="nil"/>
            </w:tcBorders>
            <w:shd w:val="clear" w:color="auto" w:fill="auto"/>
            <w:noWrap/>
            <w:vAlign w:val="bottom"/>
            <w:hideMark/>
          </w:tcPr>
          <w:p w14:paraId="18996D0A" w14:textId="77777777" w:rsidR="00F933E1" w:rsidRDefault="00F933E1">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50F8CA03" w14:textId="77777777" w:rsidR="00F933E1" w:rsidRDefault="00F933E1">
            <w:pPr>
              <w:jc w:val="right"/>
              <w:rPr>
                <w:rFonts w:ascii="Calibri Light" w:hAnsi="Calibri Light" w:cs="Arial"/>
                <w:sz w:val="22"/>
                <w:szCs w:val="22"/>
              </w:rPr>
            </w:pPr>
            <w:r>
              <w:rPr>
                <w:rFonts w:ascii="Calibri Light" w:hAnsi="Calibri Light" w:cs="Arial"/>
                <w:sz w:val="22"/>
                <w:szCs w:val="22"/>
              </w:rPr>
              <w:t>2021</w:t>
            </w:r>
          </w:p>
        </w:tc>
        <w:tc>
          <w:tcPr>
            <w:tcW w:w="180" w:type="dxa"/>
            <w:tcBorders>
              <w:top w:val="nil"/>
              <w:left w:val="nil"/>
              <w:bottom w:val="nil"/>
              <w:right w:val="nil"/>
            </w:tcBorders>
            <w:shd w:val="clear" w:color="auto" w:fill="auto"/>
            <w:noWrap/>
            <w:vAlign w:val="bottom"/>
            <w:hideMark/>
          </w:tcPr>
          <w:p w14:paraId="736AA376" w14:textId="77777777" w:rsidR="00F933E1" w:rsidRDefault="00F933E1">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5D0DE5EB" w14:textId="77777777" w:rsidR="00F933E1" w:rsidRDefault="00F933E1">
            <w:pPr>
              <w:jc w:val="right"/>
              <w:rPr>
                <w:rFonts w:ascii="Calibri Light" w:hAnsi="Calibri Light" w:cs="Arial"/>
                <w:sz w:val="22"/>
                <w:szCs w:val="22"/>
              </w:rPr>
            </w:pPr>
            <w:r>
              <w:rPr>
                <w:rFonts w:ascii="Calibri Light" w:hAnsi="Calibri Light" w:cs="Arial"/>
                <w:sz w:val="22"/>
                <w:szCs w:val="22"/>
              </w:rPr>
              <w:t>2021</w:t>
            </w:r>
          </w:p>
        </w:tc>
      </w:tr>
      <w:tr w:rsidR="00F933E1" w14:paraId="216DA850" w14:textId="77777777" w:rsidTr="00F933E1">
        <w:trPr>
          <w:trHeight w:val="300"/>
        </w:trPr>
        <w:tc>
          <w:tcPr>
            <w:tcW w:w="4920" w:type="dxa"/>
            <w:tcBorders>
              <w:top w:val="nil"/>
              <w:left w:val="nil"/>
              <w:bottom w:val="nil"/>
              <w:right w:val="nil"/>
            </w:tcBorders>
            <w:shd w:val="clear" w:color="auto" w:fill="auto"/>
            <w:noWrap/>
            <w:vAlign w:val="bottom"/>
            <w:hideMark/>
          </w:tcPr>
          <w:p w14:paraId="4D7D8718"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63B4936F"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218902DC" w14:textId="77777777" w:rsidR="00F933E1" w:rsidRDefault="00F933E1">
            <w:pPr>
              <w:jc w:val="right"/>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203F7D3A" w14:textId="77777777" w:rsidR="00F933E1" w:rsidRDefault="00F933E1">
            <w:pPr>
              <w:jc w:val="right"/>
              <w:rPr>
                <w:rFonts w:ascii="Calibri Light" w:hAnsi="Calibri Light" w:cs="Arial"/>
                <w:i/>
                <w:iCs/>
                <w:sz w:val="22"/>
                <w:szCs w:val="22"/>
              </w:rPr>
            </w:pPr>
          </w:p>
        </w:tc>
        <w:tc>
          <w:tcPr>
            <w:tcW w:w="1480" w:type="dxa"/>
            <w:tcBorders>
              <w:top w:val="nil"/>
              <w:left w:val="nil"/>
              <w:bottom w:val="nil"/>
              <w:right w:val="nil"/>
            </w:tcBorders>
            <w:shd w:val="clear" w:color="auto" w:fill="auto"/>
            <w:noWrap/>
            <w:vAlign w:val="bottom"/>
            <w:hideMark/>
          </w:tcPr>
          <w:p w14:paraId="3EB3E29A" w14:textId="77777777" w:rsidR="00F933E1" w:rsidRDefault="00F933E1">
            <w:pPr>
              <w:jc w:val="right"/>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16090132" w14:textId="77777777" w:rsidR="00F933E1" w:rsidRDefault="00F933E1">
            <w:pPr>
              <w:jc w:val="right"/>
              <w:rPr>
                <w:rFonts w:ascii="Calibri Light" w:hAnsi="Calibri Light" w:cs="Arial"/>
                <w:i/>
                <w:iCs/>
                <w:sz w:val="22"/>
                <w:szCs w:val="22"/>
              </w:rPr>
            </w:pPr>
          </w:p>
        </w:tc>
        <w:tc>
          <w:tcPr>
            <w:tcW w:w="1540" w:type="dxa"/>
            <w:tcBorders>
              <w:top w:val="nil"/>
              <w:left w:val="nil"/>
              <w:bottom w:val="nil"/>
              <w:right w:val="nil"/>
            </w:tcBorders>
            <w:shd w:val="clear" w:color="auto" w:fill="auto"/>
            <w:noWrap/>
            <w:vAlign w:val="bottom"/>
            <w:hideMark/>
          </w:tcPr>
          <w:p w14:paraId="727F8712" w14:textId="77777777" w:rsidR="00F933E1" w:rsidRDefault="00F933E1">
            <w:pPr>
              <w:jc w:val="right"/>
              <w:rPr>
                <w:rFonts w:ascii="Calibri Light" w:hAnsi="Calibri Light" w:cs="Arial"/>
                <w:i/>
                <w:iCs/>
                <w:sz w:val="22"/>
                <w:szCs w:val="22"/>
              </w:rPr>
            </w:pPr>
            <w:r>
              <w:rPr>
                <w:rFonts w:ascii="Calibri Light" w:hAnsi="Calibri Light" w:cs="Arial"/>
                <w:i/>
                <w:iCs/>
                <w:sz w:val="22"/>
                <w:szCs w:val="22"/>
              </w:rPr>
              <w:t>(audited)</w:t>
            </w:r>
          </w:p>
        </w:tc>
      </w:tr>
      <w:tr w:rsidR="00F933E1" w14:paraId="187C5BAA" w14:textId="77777777" w:rsidTr="00F933E1">
        <w:trPr>
          <w:trHeight w:val="300"/>
        </w:trPr>
        <w:tc>
          <w:tcPr>
            <w:tcW w:w="4920" w:type="dxa"/>
            <w:tcBorders>
              <w:top w:val="nil"/>
              <w:left w:val="nil"/>
              <w:bottom w:val="nil"/>
              <w:right w:val="nil"/>
            </w:tcBorders>
            <w:shd w:val="clear" w:color="auto" w:fill="auto"/>
            <w:noWrap/>
            <w:vAlign w:val="bottom"/>
            <w:hideMark/>
          </w:tcPr>
          <w:p w14:paraId="06DED8C3" w14:textId="77777777" w:rsidR="00F933E1" w:rsidRDefault="00F933E1">
            <w:pPr>
              <w:jc w:val="right"/>
              <w:rPr>
                <w:rFonts w:ascii="Calibri Light" w:hAnsi="Calibri Light" w:cs="Arial"/>
                <w:i/>
                <w:iCs/>
                <w:sz w:val="22"/>
                <w:szCs w:val="22"/>
              </w:rPr>
            </w:pPr>
          </w:p>
        </w:tc>
        <w:tc>
          <w:tcPr>
            <w:tcW w:w="180" w:type="dxa"/>
            <w:tcBorders>
              <w:top w:val="nil"/>
              <w:left w:val="nil"/>
              <w:bottom w:val="nil"/>
              <w:right w:val="nil"/>
            </w:tcBorders>
            <w:shd w:val="clear" w:color="auto" w:fill="auto"/>
            <w:noWrap/>
            <w:vAlign w:val="bottom"/>
            <w:hideMark/>
          </w:tcPr>
          <w:p w14:paraId="2E2E6032"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442D3036" w14:textId="77777777" w:rsidR="00F933E1" w:rsidRDefault="00F933E1">
            <w:pPr>
              <w:jc w:val="center"/>
              <w:rPr>
                <w:rFonts w:ascii="Calibri Light" w:hAnsi="Calibri Light" w:cs="Arial"/>
                <w:sz w:val="22"/>
                <w:szCs w:val="22"/>
              </w:rPr>
            </w:pPr>
            <w:r>
              <w:rPr>
                <w:rFonts w:ascii="Calibri Light" w:hAnsi="Calibri Light" w:cs="Arial"/>
                <w:sz w:val="22"/>
                <w:szCs w:val="22"/>
              </w:rPr>
              <w:t>£</w:t>
            </w:r>
          </w:p>
        </w:tc>
        <w:tc>
          <w:tcPr>
            <w:tcW w:w="180" w:type="dxa"/>
            <w:tcBorders>
              <w:top w:val="nil"/>
              <w:left w:val="nil"/>
              <w:bottom w:val="nil"/>
              <w:right w:val="nil"/>
            </w:tcBorders>
            <w:shd w:val="clear" w:color="auto" w:fill="auto"/>
            <w:noWrap/>
            <w:vAlign w:val="bottom"/>
            <w:hideMark/>
          </w:tcPr>
          <w:p w14:paraId="149F5D7D" w14:textId="77777777" w:rsidR="00F933E1" w:rsidRDefault="00F933E1">
            <w:pPr>
              <w:jc w:val="center"/>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40D23E08" w14:textId="77777777" w:rsidR="00F933E1" w:rsidRDefault="00F933E1">
            <w:pPr>
              <w:jc w:val="center"/>
              <w:rPr>
                <w:rFonts w:ascii="Calibri Light" w:hAnsi="Calibri Light" w:cs="Arial"/>
                <w:sz w:val="22"/>
                <w:szCs w:val="22"/>
              </w:rPr>
            </w:pPr>
            <w:r>
              <w:rPr>
                <w:rFonts w:ascii="Calibri Light" w:hAnsi="Calibri Light" w:cs="Arial"/>
                <w:sz w:val="22"/>
                <w:szCs w:val="22"/>
              </w:rPr>
              <w:t>£</w:t>
            </w:r>
          </w:p>
        </w:tc>
        <w:tc>
          <w:tcPr>
            <w:tcW w:w="180" w:type="dxa"/>
            <w:tcBorders>
              <w:top w:val="nil"/>
              <w:left w:val="nil"/>
              <w:bottom w:val="nil"/>
              <w:right w:val="nil"/>
            </w:tcBorders>
            <w:shd w:val="clear" w:color="auto" w:fill="auto"/>
            <w:noWrap/>
            <w:vAlign w:val="bottom"/>
            <w:hideMark/>
          </w:tcPr>
          <w:p w14:paraId="5CA28688" w14:textId="77777777" w:rsidR="00F933E1" w:rsidRDefault="00F933E1">
            <w:pPr>
              <w:jc w:val="cente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20FF023" w14:textId="77777777" w:rsidR="00F933E1" w:rsidRDefault="00F933E1">
            <w:pPr>
              <w:jc w:val="center"/>
              <w:rPr>
                <w:rFonts w:ascii="Calibri Light" w:hAnsi="Calibri Light" w:cs="Arial"/>
                <w:sz w:val="22"/>
                <w:szCs w:val="22"/>
              </w:rPr>
            </w:pPr>
            <w:r>
              <w:rPr>
                <w:rFonts w:ascii="Calibri Light" w:hAnsi="Calibri Light" w:cs="Arial"/>
                <w:sz w:val="22"/>
                <w:szCs w:val="22"/>
              </w:rPr>
              <w:t>£</w:t>
            </w:r>
          </w:p>
        </w:tc>
      </w:tr>
      <w:tr w:rsidR="00F933E1" w14:paraId="61531C40" w14:textId="77777777" w:rsidTr="00F933E1">
        <w:trPr>
          <w:trHeight w:val="300"/>
        </w:trPr>
        <w:tc>
          <w:tcPr>
            <w:tcW w:w="4920" w:type="dxa"/>
            <w:tcBorders>
              <w:top w:val="nil"/>
              <w:left w:val="nil"/>
              <w:bottom w:val="nil"/>
              <w:right w:val="nil"/>
            </w:tcBorders>
            <w:shd w:val="clear" w:color="auto" w:fill="auto"/>
            <w:noWrap/>
            <w:vAlign w:val="bottom"/>
            <w:hideMark/>
          </w:tcPr>
          <w:p w14:paraId="75D54047" w14:textId="77777777" w:rsidR="00F933E1" w:rsidRDefault="00F933E1">
            <w:pPr>
              <w:rPr>
                <w:rFonts w:ascii="Calibri Light" w:hAnsi="Calibri Light" w:cs="Arial"/>
                <w:b/>
                <w:bCs/>
                <w:sz w:val="22"/>
                <w:szCs w:val="22"/>
              </w:rPr>
            </w:pPr>
            <w:r>
              <w:rPr>
                <w:rFonts w:ascii="Calibri Light" w:hAnsi="Calibri Light" w:cs="Arial"/>
                <w:b/>
                <w:bCs/>
                <w:sz w:val="22"/>
                <w:szCs w:val="22"/>
              </w:rPr>
              <w:t>Operating activities</w:t>
            </w:r>
          </w:p>
        </w:tc>
        <w:tc>
          <w:tcPr>
            <w:tcW w:w="180" w:type="dxa"/>
            <w:tcBorders>
              <w:top w:val="nil"/>
              <w:left w:val="nil"/>
              <w:bottom w:val="nil"/>
              <w:right w:val="nil"/>
            </w:tcBorders>
            <w:shd w:val="clear" w:color="auto" w:fill="auto"/>
            <w:noWrap/>
            <w:vAlign w:val="bottom"/>
            <w:hideMark/>
          </w:tcPr>
          <w:p w14:paraId="110FD47D" w14:textId="77777777" w:rsidR="00F933E1" w:rsidRDefault="00F933E1">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27577A15" w14:textId="77777777" w:rsidR="00F933E1" w:rsidRDefault="00F933E1">
            <w:pPr>
              <w:rPr>
                <w:sz w:val="20"/>
                <w:szCs w:val="20"/>
              </w:rPr>
            </w:pPr>
          </w:p>
        </w:tc>
        <w:tc>
          <w:tcPr>
            <w:tcW w:w="180" w:type="dxa"/>
            <w:tcBorders>
              <w:top w:val="nil"/>
              <w:left w:val="nil"/>
              <w:bottom w:val="nil"/>
              <w:right w:val="nil"/>
            </w:tcBorders>
            <w:shd w:val="clear" w:color="auto" w:fill="auto"/>
            <w:noWrap/>
            <w:vAlign w:val="bottom"/>
            <w:hideMark/>
          </w:tcPr>
          <w:p w14:paraId="61F333B8" w14:textId="77777777" w:rsidR="00F933E1" w:rsidRDefault="00F933E1">
            <w:pPr>
              <w:rPr>
                <w:sz w:val="20"/>
                <w:szCs w:val="20"/>
              </w:rPr>
            </w:pPr>
          </w:p>
        </w:tc>
        <w:tc>
          <w:tcPr>
            <w:tcW w:w="1480" w:type="dxa"/>
            <w:tcBorders>
              <w:top w:val="nil"/>
              <w:left w:val="nil"/>
              <w:bottom w:val="nil"/>
              <w:right w:val="nil"/>
            </w:tcBorders>
            <w:shd w:val="clear" w:color="auto" w:fill="auto"/>
            <w:noWrap/>
            <w:vAlign w:val="bottom"/>
            <w:hideMark/>
          </w:tcPr>
          <w:p w14:paraId="4A140D9C" w14:textId="77777777" w:rsidR="00F933E1" w:rsidRDefault="00F933E1">
            <w:pPr>
              <w:rPr>
                <w:sz w:val="20"/>
                <w:szCs w:val="20"/>
              </w:rPr>
            </w:pPr>
          </w:p>
        </w:tc>
        <w:tc>
          <w:tcPr>
            <w:tcW w:w="180" w:type="dxa"/>
            <w:tcBorders>
              <w:top w:val="nil"/>
              <w:left w:val="nil"/>
              <w:bottom w:val="nil"/>
              <w:right w:val="nil"/>
            </w:tcBorders>
            <w:shd w:val="clear" w:color="auto" w:fill="auto"/>
            <w:noWrap/>
            <w:vAlign w:val="bottom"/>
            <w:hideMark/>
          </w:tcPr>
          <w:p w14:paraId="7E5AE57F"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00233273" w14:textId="77777777" w:rsidR="00F933E1" w:rsidRDefault="00F933E1">
            <w:pPr>
              <w:rPr>
                <w:sz w:val="20"/>
                <w:szCs w:val="20"/>
              </w:rPr>
            </w:pPr>
          </w:p>
        </w:tc>
      </w:tr>
      <w:tr w:rsidR="00F933E1" w14:paraId="054C63BF" w14:textId="77777777" w:rsidTr="00F933E1">
        <w:trPr>
          <w:trHeight w:val="300"/>
        </w:trPr>
        <w:tc>
          <w:tcPr>
            <w:tcW w:w="4920" w:type="dxa"/>
            <w:tcBorders>
              <w:top w:val="nil"/>
              <w:left w:val="nil"/>
              <w:bottom w:val="nil"/>
              <w:right w:val="nil"/>
            </w:tcBorders>
            <w:shd w:val="clear" w:color="auto" w:fill="auto"/>
            <w:noWrap/>
            <w:vAlign w:val="bottom"/>
            <w:hideMark/>
          </w:tcPr>
          <w:p w14:paraId="4C6F9F1D" w14:textId="11E43EE9" w:rsidR="00F933E1" w:rsidRDefault="00F64571">
            <w:pPr>
              <w:rPr>
                <w:rFonts w:ascii="Calibri Light" w:hAnsi="Calibri Light" w:cs="Arial"/>
                <w:sz w:val="22"/>
                <w:szCs w:val="22"/>
              </w:rPr>
            </w:pPr>
            <w:r>
              <w:rPr>
                <w:rFonts w:ascii="Calibri Light" w:hAnsi="Calibri Light" w:cs="Arial"/>
                <w:sz w:val="22"/>
                <w:szCs w:val="22"/>
              </w:rPr>
              <w:t>P</w:t>
            </w:r>
            <w:r w:rsidR="00F933E1">
              <w:rPr>
                <w:rFonts w:ascii="Calibri Light" w:hAnsi="Calibri Light" w:cs="Arial"/>
                <w:sz w:val="22"/>
                <w:szCs w:val="22"/>
              </w:rPr>
              <w:t>rofit before income tax</w:t>
            </w:r>
          </w:p>
        </w:tc>
        <w:tc>
          <w:tcPr>
            <w:tcW w:w="180" w:type="dxa"/>
            <w:tcBorders>
              <w:top w:val="nil"/>
              <w:left w:val="nil"/>
              <w:bottom w:val="nil"/>
              <w:right w:val="nil"/>
            </w:tcBorders>
            <w:shd w:val="clear" w:color="auto" w:fill="auto"/>
            <w:noWrap/>
            <w:vAlign w:val="bottom"/>
            <w:hideMark/>
          </w:tcPr>
          <w:p w14:paraId="7137F7EB"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B2EF127" w14:textId="7C4E3760" w:rsidR="00F933E1" w:rsidRDefault="002C0525" w:rsidP="00A4047A">
            <w:pPr>
              <w:ind w:right="-57"/>
              <w:jc w:val="right"/>
              <w:rPr>
                <w:rFonts w:ascii="Calibri Light" w:hAnsi="Calibri Light" w:cs="Arial"/>
                <w:sz w:val="22"/>
                <w:szCs w:val="22"/>
              </w:rPr>
            </w:pPr>
            <w:r>
              <w:rPr>
                <w:rFonts w:ascii="Calibri Light" w:hAnsi="Calibri Light" w:cs="Arial"/>
                <w:sz w:val="22"/>
                <w:szCs w:val="22"/>
              </w:rPr>
              <w:t>7,032,353</w:t>
            </w:r>
          </w:p>
        </w:tc>
        <w:tc>
          <w:tcPr>
            <w:tcW w:w="180" w:type="dxa"/>
            <w:tcBorders>
              <w:top w:val="nil"/>
              <w:left w:val="nil"/>
              <w:bottom w:val="nil"/>
              <w:right w:val="nil"/>
            </w:tcBorders>
            <w:shd w:val="clear" w:color="auto" w:fill="auto"/>
            <w:noWrap/>
            <w:vAlign w:val="bottom"/>
            <w:hideMark/>
          </w:tcPr>
          <w:p w14:paraId="22E62589"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723AAD5E" w14:textId="77777777" w:rsidR="00F933E1" w:rsidRDefault="00F933E1" w:rsidP="00C23CEA">
            <w:pPr>
              <w:jc w:val="right"/>
              <w:rPr>
                <w:rFonts w:ascii="Calibri Light" w:hAnsi="Calibri Light" w:cs="Arial"/>
                <w:sz w:val="22"/>
                <w:szCs w:val="22"/>
              </w:rPr>
            </w:pPr>
            <w:r>
              <w:rPr>
                <w:rFonts w:ascii="Calibri Light" w:hAnsi="Calibri Light" w:cs="Arial"/>
                <w:sz w:val="22"/>
                <w:szCs w:val="22"/>
              </w:rPr>
              <w:t>129,356</w:t>
            </w:r>
          </w:p>
        </w:tc>
        <w:tc>
          <w:tcPr>
            <w:tcW w:w="180" w:type="dxa"/>
            <w:tcBorders>
              <w:top w:val="nil"/>
              <w:left w:val="nil"/>
              <w:bottom w:val="nil"/>
              <w:right w:val="nil"/>
            </w:tcBorders>
            <w:shd w:val="clear" w:color="auto" w:fill="auto"/>
            <w:noWrap/>
            <w:vAlign w:val="bottom"/>
            <w:hideMark/>
          </w:tcPr>
          <w:p w14:paraId="5019DC9E" w14:textId="77777777" w:rsidR="00F933E1" w:rsidRDefault="00F933E1" w:rsidP="00C23CEA">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B3181C7" w14:textId="04B2DFAF" w:rsidR="00F933E1" w:rsidRDefault="00F933E1" w:rsidP="00C23CEA">
            <w:pPr>
              <w:rPr>
                <w:rFonts w:ascii="Calibri Light" w:hAnsi="Calibri Light" w:cs="Arial"/>
                <w:sz w:val="22"/>
                <w:szCs w:val="22"/>
              </w:rPr>
            </w:pPr>
            <w:r>
              <w:rPr>
                <w:rFonts w:ascii="Calibri Light" w:hAnsi="Calibri Light" w:cs="Arial"/>
                <w:sz w:val="22"/>
                <w:szCs w:val="22"/>
              </w:rPr>
              <w:t xml:space="preserve">        2,300,190 </w:t>
            </w:r>
          </w:p>
        </w:tc>
      </w:tr>
      <w:tr w:rsidR="00F933E1" w14:paraId="249FC5B1" w14:textId="77777777" w:rsidTr="00F933E1">
        <w:trPr>
          <w:trHeight w:val="300"/>
        </w:trPr>
        <w:tc>
          <w:tcPr>
            <w:tcW w:w="4920" w:type="dxa"/>
            <w:tcBorders>
              <w:top w:val="nil"/>
              <w:left w:val="nil"/>
              <w:bottom w:val="nil"/>
              <w:right w:val="nil"/>
            </w:tcBorders>
            <w:shd w:val="clear" w:color="auto" w:fill="auto"/>
            <w:noWrap/>
            <w:vAlign w:val="bottom"/>
            <w:hideMark/>
          </w:tcPr>
          <w:p w14:paraId="5E9B4F8E" w14:textId="77777777" w:rsidR="00F933E1" w:rsidRDefault="00F933E1">
            <w:pPr>
              <w:rPr>
                <w:rFonts w:ascii="Calibri Light" w:hAnsi="Calibri Light" w:cs="Arial"/>
                <w:sz w:val="22"/>
                <w:szCs w:val="22"/>
              </w:rPr>
            </w:pPr>
            <w:r>
              <w:rPr>
                <w:rFonts w:ascii="Calibri Light" w:hAnsi="Calibri Light" w:cs="Arial"/>
                <w:sz w:val="22"/>
                <w:szCs w:val="22"/>
              </w:rPr>
              <w:t>Gain on revaluation of investments and loans</w:t>
            </w:r>
          </w:p>
        </w:tc>
        <w:tc>
          <w:tcPr>
            <w:tcW w:w="180" w:type="dxa"/>
            <w:tcBorders>
              <w:top w:val="nil"/>
              <w:left w:val="nil"/>
              <w:bottom w:val="nil"/>
              <w:right w:val="nil"/>
            </w:tcBorders>
            <w:shd w:val="clear" w:color="auto" w:fill="auto"/>
            <w:noWrap/>
            <w:vAlign w:val="bottom"/>
            <w:hideMark/>
          </w:tcPr>
          <w:p w14:paraId="0747EB22"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D142415" w14:textId="5FAF49B2" w:rsidR="00F933E1" w:rsidRDefault="00F933E1" w:rsidP="00A4047A">
            <w:pPr>
              <w:rPr>
                <w:rFonts w:ascii="Calibri Light" w:hAnsi="Calibri Light" w:cs="Arial"/>
                <w:sz w:val="22"/>
                <w:szCs w:val="22"/>
              </w:rPr>
            </w:pPr>
            <w:r>
              <w:rPr>
                <w:rFonts w:ascii="Calibri Light" w:hAnsi="Calibri Light" w:cs="Arial"/>
                <w:sz w:val="22"/>
                <w:szCs w:val="22"/>
              </w:rPr>
              <w:t xml:space="preserve">     </w:t>
            </w:r>
            <w:r w:rsidR="002C0525">
              <w:rPr>
                <w:rFonts w:ascii="Calibri Light" w:hAnsi="Calibri Light" w:cs="Arial"/>
                <w:color w:val="FF0000"/>
                <w:sz w:val="22"/>
                <w:szCs w:val="22"/>
              </w:rPr>
              <w:t>(7,645,980)</w:t>
            </w:r>
            <w:r>
              <w:rPr>
                <w:rFonts w:ascii="Calibri Light" w:hAnsi="Calibri Light" w:cs="Arial"/>
                <w:sz w:val="22"/>
                <w:szCs w:val="22"/>
              </w:rPr>
              <w:t xml:space="preserve">   </w:t>
            </w:r>
          </w:p>
        </w:tc>
        <w:tc>
          <w:tcPr>
            <w:tcW w:w="180" w:type="dxa"/>
            <w:tcBorders>
              <w:top w:val="nil"/>
              <w:left w:val="nil"/>
              <w:bottom w:val="nil"/>
              <w:right w:val="nil"/>
            </w:tcBorders>
            <w:shd w:val="clear" w:color="auto" w:fill="auto"/>
            <w:noWrap/>
            <w:vAlign w:val="bottom"/>
            <w:hideMark/>
          </w:tcPr>
          <w:p w14:paraId="38B92454"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31B3772B"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(488,335)</w:t>
            </w:r>
          </w:p>
        </w:tc>
        <w:tc>
          <w:tcPr>
            <w:tcW w:w="180" w:type="dxa"/>
            <w:tcBorders>
              <w:top w:val="nil"/>
              <w:left w:val="nil"/>
              <w:bottom w:val="nil"/>
              <w:right w:val="nil"/>
            </w:tcBorders>
            <w:shd w:val="clear" w:color="auto" w:fill="auto"/>
            <w:noWrap/>
            <w:vAlign w:val="bottom"/>
            <w:hideMark/>
          </w:tcPr>
          <w:p w14:paraId="4CEF7F7E" w14:textId="77777777" w:rsidR="00F933E1" w:rsidRDefault="00F933E1" w:rsidP="00A4047A">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1AFADA92"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(3,076,415)</w:t>
            </w:r>
          </w:p>
        </w:tc>
      </w:tr>
      <w:tr w:rsidR="00F933E1" w14:paraId="27AD9CA0" w14:textId="77777777" w:rsidTr="00F933E1">
        <w:trPr>
          <w:trHeight w:val="300"/>
        </w:trPr>
        <w:tc>
          <w:tcPr>
            <w:tcW w:w="4920" w:type="dxa"/>
            <w:tcBorders>
              <w:top w:val="nil"/>
              <w:left w:val="nil"/>
              <w:bottom w:val="nil"/>
              <w:right w:val="nil"/>
            </w:tcBorders>
            <w:shd w:val="clear" w:color="auto" w:fill="auto"/>
            <w:noWrap/>
            <w:vAlign w:val="bottom"/>
            <w:hideMark/>
          </w:tcPr>
          <w:p w14:paraId="206FE90D" w14:textId="77777777" w:rsidR="00F933E1" w:rsidRDefault="00F933E1">
            <w:pPr>
              <w:rPr>
                <w:rFonts w:ascii="Calibri Light" w:hAnsi="Calibri Light" w:cs="Arial"/>
                <w:sz w:val="22"/>
                <w:szCs w:val="22"/>
              </w:rPr>
            </w:pPr>
            <w:r>
              <w:rPr>
                <w:rFonts w:ascii="Calibri Light" w:hAnsi="Calibri Light" w:cs="Arial"/>
                <w:sz w:val="22"/>
                <w:szCs w:val="22"/>
              </w:rPr>
              <w:t>Finance income</w:t>
            </w:r>
          </w:p>
        </w:tc>
        <w:tc>
          <w:tcPr>
            <w:tcW w:w="180" w:type="dxa"/>
            <w:tcBorders>
              <w:top w:val="nil"/>
              <w:left w:val="nil"/>
              <w:bottom w:val="nil"/>
              <w:right w:val="nil"/>
            </w:tcBorders>
            <w:shd w:val="clear" w:color="auto" w:fill="auto"/>
            <w:noWrap/>
            <w:vAlign w:val="bottom"/>
            <w:hideMark/>
          </w:tcPr>
          <w:p w14:paraId="004C51B9"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AE7C9F4"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(116,314)</w:t>
            </w:r>
          </w:p>
        </w:tc>
        <w:tc>
          <w:tcPr>
            <w:tcW w:w="180" w:type="dxa"/>
            <w:tcBorders>
              <w:top w:val="nil"/>
              <w:left w:val="nil"/>
              <w:bottom w:val="nil"/>
              <w:right w:val="nil"/>
            </w:tcBorders>
            <w:shd w:val="clear" w:color="auto" w:fill="auto"/>
            <w:noWrap/>
            <w:vAlign w:val="bottom"/>
            <w:hideMark/>
          </w:tcPr>
          <w:p w14:paraId="793B3B67"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7062DB9C"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(50,093)</w:t>
            </w:r>
          </w:p>
        </w:tc>
        <w:tc>
          <w:tcPr>
            <w:tcW w:w="180" w:type="dxa"/>
            <w:tcBorders>
              <w:top w:val="nil"/>
              <w:left w:val="nil"/>
              <w:bottom w:val="nil"/>
              <w:right w:val="nil"/>
            </w:tcBorders>
            <w:shd w:val="clear" w:color="auto" w:fill="auto"/>
            <w:noWrap/>
            <w:vAlign w:val="bottom"/>
            <w:hideMark/>
          </w:tcPr>
          <w:p w14:paraId="1B8FF4AC" w14:textId="77777777" w:rsidR="00F933E1" w:rsidRDefault="00F933E1" w:rsidP="00A4047A">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CAA2DD7"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(109,618)</w:t>
            </w:r>
          </w:p>
        </w:tc>
      </w:tr>
      <w:tr w:rsidR="00F933E1" w14:paraId="5F2FB46D" w14:textId="77777777" w:rsidTr="00F933E1">
        <w:trPr>
          <w:trHeight w:val="300"/>
        </w:trPr>
        <w:tc>
          <w:tcPr>
            <w:tcW w:w="4920" w:type="dxa"/>
            <w:tcBorders>
              <w:top w:val="nil"/>
              <w:left w:val="nil"/>
              <w:bottom w:val="nil"/>
              <w:right w:val="nil"/>
            </w:tcBorders>
            <w:shd w:val="clear" w:color="auto" w:fill="auto"/>
            <w:noWrap/>
            <w:vAlign w:val="bottom"/>
            <w:hideMark/>
          </w:tcPr>
          <w:p w14:paraId="4A5E61FE" w14:textId="77777777" w:rsidR="00F933E1" w:rsidRDefault="00F933E1">
            <w:pPr>
              <w:rPr>
                <w:rFonts w:ascii="Calibri Light" w:hAnsi="Calibri Light" w:cs="Arial"/>
                <w:sz w:val="22"/>
                <w:szCs w:val="22"/>
              </w:rPr>
            </w:pPr>
            <w:r>
              <w:rPr>
                <w:rFonts w:ascii="Calibri Light" w:hAnsi="Calibri Light" w:cs="Arial"/>
                <w:sz w:val="22"/>
                <w:szCs w:val="22"/>
              </w:rPr>
              <w:t>Finance costs</w:t>
            </w:r>
          </w:p>
        </w:tc>
        <w:tc>
          <w:tcPr>
            <w:tcW w:w="180" w:type="dxa"/>
            <w:tcBorders>
              <w:top w:val="nil"/>
              <w:left w:val="nil"/>
              <w:bottom w:val="nil"/>
              <w:right w:val="nil"/>
            </w:tcBorders>
            <w:shd w:val="clear" w:color="auto" w:fill="auto"/>
            <w:noWrap/>
            <w:vAlign w:val="bottom"/>
            <w:hideMark/>
          </w:tcPr>
          <w:p w14:paraId="21E22C23" w14:textId="77777777" w:rsidR="00F933E1" w:rsidRDefault="00F933E1">
            <w:pPr>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7CC3EC8A" w14:textId="0BAD8FEC"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26,200 </w:t>
            </w:r>
          </w:p>
        </w:tc>
        <w:tc>
          <w:tcPr>
            <w:tcW w:w="180" w:type="dxa"/>
            <w:tcBorders>
              <w:top w:val="nil"/>
              <w:left w:val="nil"/>
              <w:bottom w:val="nil"/>
              <w:right w:val="nil"/>
            </w:tcBorders>
            <w:shd w:val="clear" w:color="auto" w:fill="auto"/>
            <w:noWrap/>
            <w:vAlign w:val="bottom"/>
            <w:hideMark/>
          </w:tcPr>
          <w:p w14:paraId="03566252" w14:textId="77777777" w:rsidR="00F933E1" w:rsidRDefault="00F933E1" w:rsidP="00A4047A">
            <w:pPr>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2406A4C1" w14:textId="1A146EC7"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53,281 </w:t>
            </w:r>
          </w:p>
        </w:tc>
        <w:tc>
          <w:tcPr>
            <w:tcW w:w="180" w:type="dxa"/>
            <w:tcBorders>
              <w:top w:val="nil"/>
              <w:left w:val="nil"/>
              <w:bottom w:val="nil"/>
              <w:right w:val="nil"/>
            </w:tcBorders>
            <w:shd w:val="clear" w:color="auto" w:fill="auto"/>
            <w:noWrap/>
            <w:vAlign w:val="bottom"/>
            <w:hideMark/>
          </w:tcPr>
          <w:p w14:paraId="2DEB4619" w14:textId="77777777" w:rsidR="00F933E1" w:rsidRDefault="00F933E1" w:rsidP="00A4047A">
            <w:pPr>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35ECF996" w14:textId="57AF9A04"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80,771 </w:t>
            </w:r>
          </w:p>
        </w:tc>
      </w:tr>
      <w:tr w:rsidR="00F933E1" w14:paraId="5946A95C" w14:textId="77777777" w:rsidTr="00F933E1">
        <w:trPr>
          <w:trHeight w:val="300"/>
        </w:trPr>
        <w:tc>
          <w:tcPr>
            <w:tcW w:w="4920" w:type="dxa"/>
            <w:tcBorders>
              <w:top w:val="nil"/>
              <w:left w:val="nil"/>
              <w:bottom w:val="nil"/>
              <w:right w:val="nil"/>
            </w:tcBorders>
            <w:shd w:val="clear" w:color="auto" w:fill="auto"/>
            <w:noWrap/>
            <w:vAlign w:val="bottom"/>
            <w:hideMark/>
          </w:tcPr>
          <w:p w14:paraId="442997A2" w14:textId="77777777" w:rsidR="00F933E1" w:rsidRDefault="00F933E1">
            <w:pPr>
              <w:rPr>
                <w:rFonts w:ascii="Calibri Light" w:hAnsi="Calibri Light" w:cs="Arial"/>
                <w:b/>
                <w:bCs/>
                <w:sz w:val="22"/>
                <w:szCs w:val="22"/>
              </w:rPr>
            </w:pPr>
            <w:r>
              <w:rPr>
                <w:rFonts w:ascii="Calibri Light" w:hAnsi="Calibri Light" w:cs="Arial"/>
                <w:b/>
                <w:bCs/>
                <w:sz w:val="22"/>
                <w:szCs w:val="22"/>
              </w:rPr>
              <w:t>Operating loss</w:t>
            </w:r>
          </w:p>
        </w:tc>
        <w:tc>
          <w:tcPr>
            <w:tcW w:w="180" w:type="dxa"/>
            <w:tcBorders>
              <w:top w:val="nil"/>
              <w:left w:val="nil"/>
              <w:bottom w:val="nil"/>
              <w:right w:val="nil"/>
            </w:tcBorders>
            <w:shd w:val="clear" w:color="auto" w:fill="auto"/>
            <w:noWrap/>
            <w:vAlign w:val="bottom"/>
            <w:hideMark/>
          </w:tcPr>
          <w:p w14:paraId="0AAAFA1F" w14:textId="77777777" w:rsidR="00F933E1" w:rsidRDefault="00F933E1">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5C4A29B0"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(703,741)</w:t>
            </w:r>
          </w:p>
        </w:tc>
        <w:tc>
          <w:tcPr>
            <w:tcW w:w="180" w:type="dxa"/>
            <w:tcBorders>
              <w:top w:val="nil"/>
              <w:left w:val="nil"/>
              <w:bottom w:val="nil"/>
              <w:right w:val="nil"/>
            </w:tcBorders>
            <w:shd w:val="clear" w:color="auto" w:fill="auto"/>
            <w:noWrap/>
            <w:vAlign w:val="bottom"/>
            <w:hideMark/>
          </w:tcPr>
          <w:p w14:paraId="242E2825" w14:textId="77777777" w:rsidR="00F933E1" w:rsidRDefault="00F933E1" w:rsidP="00A4047A">
            <w:pPr>
              <w:ind w:right="-57"/>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19C6D9CD"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(355,791)</w:t>
            </w:r>
          </w:p>
        </w:tc>
        <w:tc>
          <w:tcPr>
            <w:tcW w:w="180" w:type="dxa"/>
            <w:tcBorders>
              <w:top w:val="nil"/>
              <w:left w:val="nil"/>
              <w:bottom w:val="nil"/>
              <w:right w:val="nil"/>
            </w:tcBorders>
            <w:shd w:val="clear" w:color="auto" w:fill="auto"/>
            <w:noWrap/>
            <w:vAlign w:val="bottom"/>
            <w:hideMark/>
          </w:tcPr>
          <w:p w14:paraId="7C9E5673" w14:textId="77777777" w:rsidR="00F933E1" w:rsidRDefault="00F933E1" w:rsidP="00A4047A">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16776D5"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(805,072)</w:t>
            </w:r>
          </w:p>
        </w:tc>
      </w:tr>
      <w:tr w:rsidR="00F933E1" w14:paraId="04B49646" w14:textId="77777777" w:rsidTr="00F933E1">
        <w:trPr>
          <w:trHeight w:val="300"/>
        </w:trPr>
        <w:tc>
          <w:tcPr>
            <w:tcW w:w="4920" w:type="dxa"/>
            <w:tcBorders>
              <w:top w:val="nil"/>
              <w:left w:val="nil"/>
              <w:bottom w:val="nil"/>
              <w:right w:val="nil"/>
            </w:tcBorders>
            <w:shd w:val="clear" w:color="auto" w:fill="auto"/>
            <w:noWrap/>
            <w:vAlign w:val="bottom"/>
            <w:hideMark/>
          </w:tcPr>
          <w:p w14:paraId="06DC226A" w14:textId="77777777" w:rsidR="00F933E1" w:rsidRDefault="00F933E1">
            <w:pPr>
              <w:rPr>
                <w:rFonts w:ascii="Calibri Light" w:hAnsi="Calibri Light" w:cs="Arial"/>
                <w:sz w:val="22"/>
                <w:szCs w:val="22"/>
              </w:rPr>
            </w:pPr>
            <w:r>
              <w:rPr>
                <w:rFonts w:ascii="Calibri Light" w:hAnsi="Calibri Light" w:cs="Arial"/>
                <w:sz w:val="22"/>
                <w:szCs w:val="22"/>
              </w:rPr>
              <w:t>Increase in trade and other receivables</w:t>
            </w:r>
          </w:p>
        </w:tc>
        <w:tc>
          <w:tcPr>
            <w:tcW w:w="180" w:type="dxa"/>
            <w:tcBorders>
              <w:top w:val="nil"/>
              <w:left w:val="nil"/>
              <w:bottom w:val="nil"/>
              <w:right w:val="nil"/>
            </w:tcBorders>
            <w:shd w:val="clear" w:color="auto" w:fill="auto"/>
            <w:noWrap/>
            <w:vAlign w:val="bottom"/>
            <w:hideMark/>
          </w:tcPr>
          <w:p w14:paraId="4620F6E0"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9ABDC51"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(1,990,099)</w:t>
            </w:r>
          </w:p>
        </w:tc>
        <w:tc>
          <w:tcPr>
            <w:tcW w:w="180" w:type="dxa"/>
            <w:tcBorders>
              <w:top w:val="nil"/>
              <w:left w:val="nil"/>
              <w:bottom w:val="nil"/>
              <w:right w:val="nil"/>
            </w:tcBorders>
            <w:shd w:val="clear" w:color="auto" w:fill="auto"/>
            <w:noWrap/>
            <w:vAlign w:val="bottom"/>
            <w:hideMark/>
          </w:tcPr>
          <w:p w14:paraId="513013AC" w14:textId="77777777" w:rsidR="00F933E1" w:rsidRDefault="00F933E1" w:rsidP="00A4047A">
            <w:pPr>
              <w:ind w:right="-57"/>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3C6F9E41"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(23,334)</w:t>
            </w:r>
          </w:p>
        </w:tc>
        <w:tc>
          <w:tcPr>
            <w:tcW w:w="180" w:type="dxa"/>
            <w:tcBorders>
              <w:top w:val="nil"/>
              <w:left w:val="nil"/>
              <w:bottom w:val="nil"/>
              <w:right w:val="nil"/>
            </w:tcBorders>
            <w:shd w:val="clear" w:color="auto" w:fill="auto"/>
            <w:noWrap/>
            <w:vAlign w:val="bottom"/>
            <w:hideMark/>
          </w:tcPr>
          <w:p w14:paraId="2116E541" w14:textId="77777777" w:rsidR="00F933E1" w:rsidRDefault="00F933E1" w:rsidP="00A4047A">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665A697"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(50,751)</w:t>
            </w:r>
          </w:p>
        </w:tc>
      </w:tr>
      <w:tr w:rsidR="00F933E1" w14:paraId="34BD0E6F" w14:textId="77777777" w:rsidTr="00F933E1">
        <w:trPr>
          <w:trHeight w:val="300"/>
        </w:trPr>
        <w:tc>
          <w:tcPr>
            <w:tcW w:w="4920" w:type="dxa"/>
            <w:tcBorders>
              <w:top w:val="nil"/>
              <w:left w:val="nil"/>
              <w:bottom w:val="nil"/>
              <w:right w:val="nil"/>
            </w:tcBorders>
            <w:shd w:val="clear" w:color="auto" w:fill="auto"/>
            <w:vAlign w:val="bottom"/>
            <w:hideMark/>
          </w:tcPr>
          <w:p w14:paraId="1EF59D60" w14:textId="77777777" w:rsidR="00F933E1" w:rsidRDefault="00F933E1">
            <w:pPr>
              <w:rPr>
                <w:rFonts w:ascii="Calibri Light" w:hAnsi="Calibri Light" w:cs="Arial"/>
                <w:sz w:val="22"/>
                <w:szCs w:val="22"/>
              </w:rPr>
            </w:pPr>
            <w:r>
              <w:rPr>
                <w:rFonts w:ascii="Calibri Light" w:hAnsi="Calibri Light" w:cs="Arial"/>
                <w:sz w:val="22"/>
                <w:szCs w:val="22"/>
              </w:rPr>
              <w:t>Decrease in trade and other payables</w:t>
            </w:r>
          </w:p>
        </w:tc>
        <w:tc>
          <w:tcPr>
            <w:tcW w:w="180" w:type="dxa"/>
            <w:tcBorders>
              <w:top w:val="nil"/>
              <w:left w:val="nil"/>
              <w:bottom w:val="nil"/>
              <w:right w:val="nil"/>
            </w:tcBorders>
            <w:shd w:val="clear" w:color="auto" w:fill="auto"/>
            <w:noWrap/>
            <w:vAlign w:val="bottom"/>
            <w:hideMark/>
          </w:tcPr>
          <w:p w14:paraId="4FA32A37"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1975E9D"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(1,326)</w:t>
            </w:r>
          </w:p>
        </w:tc>
        <w:tc>
          <w:tcPr>
            <w:tcW w:w="180" w:type="dxa"/>
            <w:tcBorders>
              <w:top w:val="nil"/>
              <w:left w:val="nil"/>
              <w:bottom w:val="nil"/>
              <w:right w:val="nil"/>
            </w:tcBorders>
            <w:shd w:val="clear" w:color="auto" w:fill="auto"/>
            <w:noWrap/>
            <w:vAlign w:val="bottom"/>
            <w:hideMark/>
          </w:tcPr>
          <w:p w14:paraId="671596AF" w14:textId="77777777" w:rsidR="00F933E1" w:rsidRDefault="00F933E1" w:rsidP="00A4047A">
            <w:pPr>
              <w:ind w:right="-57"/>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424295C2"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(11,688)</w:t>
            </w:r>
          </w:p>
        </w:tc>
        <w:tc>
          <w:tcPr>
            <w:tcW w:w="180" w:type="dxa"/>
            <w:tcBorders>
              <w:top w:val="nil"/>
              <w:left w:val="nil"/>
              <w:bottom w:val="nil"/>
              <w:right w:val="nil"/>
            </w:tcBorders>
            <w:shd w:val="clear" w:color="auto" w:fill="auto"/>
            <w:noWrap/>
            <w:vAlign w:val="bottom"/>
            <w:hideMark/>
          </w:tcPr>
          <w:p w14:paraId="0F7819AF" w14:textId="77777777" w:rsidR="00F933E1" w:rsidRDefault="00F933E1" w:rsidP="00A4047A">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D7DF8C3" w14:textId="77777777" w:rsidR="00F933E1" w:rsidRDefault="00F933E1" w:rsidP="00A4047A">
            <w:pPr>
              <w:ind w:right="-57"/>
              <w:jc w:val="right"/>
              <w:rPr>
                <w:rFonts w:ascii="Calibri Light" w:hAnsi="Calibri Light" w:cs="Arial"/>
                <w:sz w:val="22"/>
                <w:szCs w:val="22"/>
              </w:rPr>
            </w:pPr>
            <w:r>
              <w:rPr>
                <w:rFonts w:ascii="Calibri Light" w:hAnsi="Calibri Light" w:cs="Arial"/>
                <w:color w:val="FF0000"/>
                <w:sz w:val="22"/>
                <w:szCs w:val="22"/>
              </w:rPr>
              <w:t>(85,419)</w:t>
            </w:r>
          </w:p>
        </w:tc>
      </w:tr>
      <w:tr w:rsidR="00F933E1" w14:paraId="3CB50213" w14:textId="77777777" w:rsidTr="00F933E1">
        <w:trPr>
          <w:trHeight w:val="300"/>
        </w:trPr>
        <w:tc>
          <w:tcPr>
            <w:tcW w:w="4920" w:type="dxa"/>
            <w:tcBorders>
              <w:top w:val="nil"/>
              <w:left w:val="nil"/>
              <w:bottom w:val="nil"/>
              <w:right w:val="nil"/>
            </w:tcBorders>
            <w:shd w:val="clear" w:color="auto" w:fill="auto"/>
            <w:vAlign w:val="bottom"/>
            <w:hideMark/>
          </w:tcPr>
          <w:p w14:paraId="53DF77A3" w14:textId="77777777" w:rsidR="00F933E1" w:rsidRDefault="00F933E1">
            <w:pPr>
              <w:rPr>
                <w:rFonts w:ascii="Calibri Light" w:hAnsi="Calibri Light" w:cs="Arial"/>
                <w:sz w:val="22"/>
                <w:szCs w:val="22"/>
              </w:rPr>
            </w:pPr>
            <w:r>
              <w:rPr>
                <w:rFonts w:ascii="Calibri Light" w:hAnsi="Calibri Light" w:cs="Arial"/>
                <w:sz w:val="22"/>
                <w:szCs w:val="22"/>
              </w:rPr>
              <w:t>Equity-settled share-based payment charge</w:t>
            </w:r>
          </w:p>
        </w:tc>
        <w:tc>
          <w:tcPr>
            <w:tcW w:w="180" w:type="dxa"/>
            <w:tcBorders>
              <w:top w:val="nil"/>
              <w:left w:val="nil"/>
              <w:bottom w:val="nil"/>
              <w:right w:val="nil"/>
            </w:tcBorders>
            <w:shd w:val="clear" w:color="auto" w:fill="auto"/>
            <w:noWrap/>
            <w:vAlign w:val="bottom"/>
            <w:hideMark/>
          </w:tcPr>
          <w:p w14:paraId="3EFD94B6" w14:textId="77777777" w:rsidR="00F933E1" w:rsidRDefault="00F933E1">
            <w:pPr>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213EE48F" w14:textId="572A156D"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201,774 </w:t>
            </w:r>
          </w:p>
        </w:tc>
        <w:tc>
          <w:tcPr>
            <w:tcW w:w="180" w:type="dxa"/>
            <w:tcBorders>
              <w:top w:val="nil"/>
              <w:left w:val="nil"/>
              <w:bottom w:val="nil"/>
              <w:right w:val="nil"/>
            </w:tcBorders>
            <w:shd w:val="clear" w:color="auto" w:fill="auto"/>
            <w:noWrap/>
            <w:vAlign w:val="bottom"/>
            <w:hideMark/>
          </w:tcPr>
          <w:p w14:paraId="04D2FEA5" w14:textId="77777777" w:rsidR="00F933E1" w:rsidRDefault="00F933E1" w:rsidP="00A4047A">
            <w:pPr>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2D7FB85D" w14:textId="7693667A"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24,497 </w:t>
            </w:r>
          </w:p>
        </w:tc>
        <w:tc>
          <w:tcPr>
            <w:tcW w:w="180" w:type="dxa"/>
            <w:tcBorders>
              <w:top w:val="nil"/>
              <w:left w:val="nil"/>
              <w:bottom w:val="nil"/>
              <w:right w:val="nil"/>
            </w:tcBorders>
            <w:shd w:val="clear" w:color="auto" w:fill="auto"/>
            <w:noWrap/>
            <w:vAlign w:val="bottom"/>
            <w:hideMark/>
          </w:tcPr>
          <w:p w14:paraId="17D09903" w14:textId="77777777" w:rsidR="00F933E1" w:rsidRDefault="00F933E1" w:rsidP="00A4047A">
            <w:pPr>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388AB7AC" w14:textId="4D7BA713" w:rsidR="00F933E1" w:rsidRDefault="00F933E1" w:rsidP="00A4047A">
            <w:pPr>
              <w:jc w:val="right"/>
              <w:rPr>
                <w:rFonts w:ascii="Calibri Light" w:hAnsi="Calibri Light" w:cs="Arial"/>
                <w:sz w:val="22"/>
                <w:szCs w:val="22"/>
              </w:rPr>
            </w:pPr>
            <w:r>
              <w:rPr>
                <w:rFonts w:ascii="Calibri Light" w:hAnsi="Calibri Light" w:cs="Arial"/>
                <w:sz w:val="22"/>
                <w:szCs w:val="22"/>
              </w:rPr>
              <w:t xml:space="preserve">                         -   </w:t>
            </w:r>
          </w:p>
        </w:tc>
      </w:tr>
      <w:tr w:rsidR="00F933E1" w14:paraId="658F79C1" w14:textId="77777777" w:rsidTr="00F933E1">
        <w:trPr>
          <w:trHeight w:val="120"/>
        </w:trPr>
        <w:tc>
          <w:tcPr>
            <w:tcW w:w="4920" w:type="dxa"/>
            <w:tcBorders>
              <w:top w:val="nil"/>
              <w:left w:val="nil"/>
              <w:bottom w:val="nil"/>
              <w:right w:val="nil"/>
            </w:tcBorders>
            <w:shd w:val="clear" w:color="auto" w:fill="auto"/>
            <w:noWrap/>
            <w:vAlign w:val="bottom"/>
            <w:hideMark/>
          </w:tcPr>
          <w:p w14:paraId="071D5C69" w14:textId="77777777" w:rsidR="00F933E1" w:rsidRDefault="00F933E1">
            <w:pPr>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0C6EE2E4"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150307E4"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30527F1C" w14:textId="77777777" w:rsidR="00F933E1" w:rsidRDefault="00F933E1" w:rsidP="00C23CEA">
            <w:pPr>
              <w:jc w:val="right"/>
              <w:rPr>
                <w:sz w:val="20"/>
                <w:szCs w:val="20"/>
              </w:rPr>
            </w:pPr>
          </w:p>
        </w:tc>
        <w:tc>
          <w:tcPr>
            <w:tcW w:w="1480" w:type="dxa"/>
            <w:tcBorders>
              <w:top w:val="nil"/>
              <w:left w:val="nil"/>
              <w:bottom w:val="nil"/>
              <w:right w:val="nil"/>
            </w:tcBorders>
            <w:shd w:val="clear" w:color="auto" w:fill="auto"/>
            <w:noWrap/>
            <w:vAlign w:val="bottom"/>
            <w:hideMark/>
          </w:tcPr>
          <w:p w14:paraId="67E3215F"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0F842F4D" w14:textId="77777777" w:rsidR="00F933E1" w:rsidRDefault="00F933E1" w:rsidP="00C23CEA">
            <w:pPr>
              <w:jc w:val="right"/>
              <w:rPr>
                <w:sz w:val="20"/>
                <w:szCs w:val="20"/>
              </w:rPr>
            </w:pPr>
          </w:p>
        </w:tc>
        <w:tc>
          <w:tcPr>
            <w:tcW w:w="1540" w:type="dxa"/>
            <w:tcBorders>
              <w:top w:val="nil"/>
              <w:left w:val="nil"/>
              <w:bottom w:val="nil"/>
              <w:right w:val="nil"/>
            </w:tcBorders>
            <w:shd w:val="clear" w:color="auto" w:fill="auto"/>
            <w:noWrap/>
            <w:vAlign w:val="bottom"/>
            <w:hideMark/>
          </w:tcPr>
          <w:p w14:paraId="5D176521" w14:textId="77777777" w:rsidR="00F933E1" w:rsidRDefault="00F933E1" w:rsidP="00C23CEA">
            <w:pPr>
              <w:jc w:val="right"/>
              <w:rPr>
                <w:sz w:val="20"/>
                <w:szCs w:val="20"/>
              </w:rPr>
            </w:pPr>
          </w:p>
        </w:tc>
      </w:tr>
      <w:tr w:rsidR="00F933E1" w14:paraId="096E580C" w14:textId="77777777" w:rsidTr="00F933E1">
        <w:trPr>
          <w:trHeight w:val="300"/>
        </w:trPr>
        <w:tc>
          <w:tcPr>
            <w:tcW w:w="4920" w:type="dxa"/>
            <w:tcBorders>
              <w:top w:val="nil"/>
              <w:left w:val="nil"/>
              <w:bottom w:val="nil"/>
              <w:right w:val="nil"/>
            </w:tcBorders>
            <w:shd w:val="clear" w:color="auto" w:fill="auto"/>
            <w:noWrap/>
            <w:vAlign w:val="bottom"/>
            <w:hideMark/>
          </w:tcPr>
          <w:p w14:paraId="4C3EC7FD" w14:textId="77777777" w:rsidR="00F933E1" w:rsidRDefault="00F933E1">
            <w:pPr>
              <w:rPr>
                <w:rFonts w:ascii="Calibri Light" w:hAnsi="Calibri Light" w:cs="Arial"/>
                <w:b/>
                <w:bCs/>
                <w:sz w:val="22"/>
                <w:szCs w:val="22"/>
              </w:rPr>
            </w:pPr>
            <w:r>
              <w:rPr>
                <w:rFonts w:ascii="Calibri Light" w:hAnsi="Calibri Light" w:cs="Arial"/>
                <w:b/>
                <w:bCs/>
                <w:sz w:val="22"/>
                <w:szCs w:val="22"/>
              </w:rPr>
              <w:t xml:space="preserve">Net cash used in operating activities </w:t>
            </w:r>
          </w:p>
        </w:tc>
        <w:tc>
          <w:tcPr>
            <w:tcW w:w="180" w:type="dxa"/>
            <w:tcBorders>
              <w:top w:val="nil"/>
              <w:left w:val="nil"/>
              <w:bottom w:val="nil"/>
              <w:right w:val="nil"/>
            </w:tcBorders>
            <w:shd w:val="clear" w:color="auto" w:fill="auto"/>
            <w:noWrap/>
            <w:vAlign w:val="bottom"/>
            <w:hideMark/>
          </w:tcPr>
          <w:p w14:paraId="1F8B1DD0" w14:textId="77777777" w:rsidR="00F933E1" w:rsidRDefault="00F933E1">
            <w:pPr>
              <w:rPr>
                <w:rFonts w:ascii="Calibri Light" w:hAnsi="Calibri Light" w:cs="Arial"/>
                <w:b/>
                <w:bCs/>
                <w:sz w:val="22"/>
                <w:szCs w:val="22"/>
              </w:rPr>
            </w:pPr>
          </w:p>
        </w:tc>
        <w:tc>
          <w:tcPr>
            <w:tcW w:w="1540" w:type="dxa"/>
            <w:tcBorders>
              <w:top w:val="nil"/>
              <w:left w:val="nil"/>
              <w:bottom w:val="single" w:sz="4" w:space="0" w:color="auto"/>
              <w:right w:val="nil"/>
            </w:tcBorders>
            <w:shd w:val="clear" w:color="auto" w:fill="auto"/>
            <w:noWrap/>
            <w:vAlign w:val="bottom"/>
            <w:hideMark/>
          </w:tcPr>
          <w:p w14:paraId="3703736E"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(2,493,392)</w:t>
            </w:r>
          </w:p>
        </w:tc>
        <w:tc>
          <w:tcPr>
            <w:tcW w:w="180" w:type="dxa"/>
            <w:tcBorders>
              <w:top w:val="nil"/>
              <w:left w:val="nil"/>
              <w:bottom w:val="nil"/>
              <w:right w:val="nil"/>
            </w:tcBorders>
            <w:shd w:val="clear" w:color="auto" w:fill="auto"/>
            <w:noWrap/>
            <w:vAlign w:val="bottom"/>
            <w:hideMark/>
          </w:tcPr>
          <w:p w14:paraId="1A7005A6" w14:textId="77777777" w:rsidR="00F933E1" w:rsidRDefault="00F933E1" w:rsidP="00663D03">
            <w:pPr>
              <w:ind w:right="-57"/>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56957E1B"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(366,316)</w:t>
            </w:r>
          </w:p>
        </w:tc>
        <w:tc>
          <w:tcPr>
            <w:tcW w:w="180" w:type="dxa"/>
            <w:tcBorders>
              <w:top w:val="nil"/>
              <w:left w:val="nil"/>
              <w:bottom w:val="nil"/>
              <w:right w:val="nil"/>
            </w:tcBorders>
            <w:shd w:val="clear" w:color="auto" w:fill="auto"/>
            <w:noWrap/>
            <w:vAlign w:val="bottom"/>
            <w:hideMark/>
          </w:tcPr>
          <w:p w14:paraId="4013B29E" w14:textId="77777777" w:rsidR="00F933E1" w:rsidRDefault="00F933E1" w:rsidP="00663D03">
            <w:pPr>
              <w:ind w:right="-57"/>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4EB824F3"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(941,242)</w:t>
            </w:r>
          </w:p>
        </w:tc>
      </w:tr>
      <w:tr w:rsidR="00F933E1" w14:paraId="22DA9992" w14:textId="77777777" w:rsidTr="00F933E1">
        <w:trPr>
          <w:trHeight w:val="120"/>
        </w:trPr>
        <w:tc>
          <w:tcPr>
            <w:tcW w:w="4920" w:type="dxa"/>
            <w:tcBorders>
              <w:top w:val="nil"/>
              <w:left w:val="nil"/>
              <w:bottom w:val="nil"/>
              <w:right w:val="nil"/>
            </w:tcBorders>
            <w:shd w:val="clear" w:color="auto" w:fill="auto"/>
            <w:noWrap/>
            <w:vAlign w:val="bottom"/>
            <w:hideMark/>
          </w:tcPr>
          <w:p w14:paraId="693468B3"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1AA1788A"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3F9A13FC"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14FD79D3" w14:textId="77777777" w:rsidR="00F933E1" w:rsidRDefault="00F933E1" w:rsidP="00663D03">
            <w:pPr>
              <w:ind w:right="-57"/>
              <w:jc w:val="right"/>
              <w:rPr>
                <w:sz w:val="20"/>
                <w:szCs w:val="20"/>
              </w:rPr>
            </w:pPr>
          </w:p>
        </w:tc>
        <w:tc>
          <w:tcPr>
            <w:tcW w:w="1480" w:type="dxa"/>
            <w:tcBorders>
              <w:top w:val="nil"/>
              <w:left w:val="nil"/>
              <w:bottom w:val="nil"/>
              <w:right w:val="nil"/>
            </w:tcBorders>
            <w:shd w:val="clear" w:color="auto" w:fill="auto"/>
            <w:noWrap/>
            <w:vAlign w:val="bottom"/>
            <w:hideMark/>
          </w:tcPr>
          <w:p w14:paraId="5B374DDF"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73B34305" w14:textId="77777777" w:rsidR="00F933E1" w:rsidRDefault="00F933E1" w:rsidP="00663D03">
            <w:pPr>
              <w:ind w:right="-57"/>
              <w:jc w:val="right"/>
              <w:rPr>
                <w:sz w:val="20"/>
                <w:szCs w:val="20"/>
              </w:rPr>
            </w:pPr>
          </w:p>
        </w:tc>
        <w:tc>
          <w:tcPr>
            <w:tcW w:w="1540" w:type="dxa"/>
            <w:tcBorders>
              <w:top w:val="nil"/>
              <w:left w:val="nil"/>
              <w:bottom w:val="nil"/>
              <w:right w:val="nil"/>
            </w:tcBorders>
            <w:shd w:val="clear" w:color="auto" w:fill="auto"/>
            <w:noWrap/>
            <w:vAlign w:val="bottom"/>
            <w:hideMark/>
          </w:tcPr>
          <w:p w14:paraId="3F1EFCF2" w14:textId="77777777" w:rsidR="00F933E1" w:rsidRDefault="00F933E1" w:rsidP="00663D03">
            <w:pPr>
              <w:ind w:right="-57"/>
              <w:jc w:val="right"/>
              <w:rPr>
                <w:sz w:val="20"/>
                <w:szCs w:val="20"/>
              </w:rPr>
            </w:pPr>
          </w:p>
        </w:tc>
      </w:tr>
      <w:tr w:rsidR="00F933E1" w14:paraId="2D81917A" w14:textId="77777777" w:rsidTr="00F933E1">
        <w:trPr>
          <w:trHeight w:val="300"/>
        </w:trPr>
        <w:tc>
          <w:tcPr>
            <w:tcW w:w="4920" w:type="dxa"/>
            <w:tcBorders>
              <w:top w:val="nil"/>
              <w:left w:val="nil"/>
              <w:bottom w:val="nil"/>
              <w:right w:val="nil"/>
            </w:tcBorders>
            <w:shd w:val="clear" w:color="auto" w:fill="auto"/>
            <w:noWrap/>
            <w:vAlign w:val="bottom"/>
            <w:hideMark/>
          </w:tcPr>
          <w:p w14:paraId="37423EB8" w14:textId="77777777" w:rsidR="00F933E1" w:rsidRDefault="00F933E1">
            <w:pPr>
              <w:rPr>
                <w:rFonts w:ascii="Calibri Light" w:hAnsi="Calibri Light" w:cs="Arial"/>
                <w:b/>
                <w:bCs/>
                <w:sz w:val="22"/>
                <w:szCs w:val="22"/>
              </w:rPr>
            </w:pPr>
            <w:r>
              <w:rPr>
                <w:rFonts w:ascii="Calibri Light" w:hAnsi="Calibri Light" w:cs="Arial"/>
                <w:b/>
                <w:bCs/>
                <w:sz w:val="22"/>
                <w:szCs w:val="22"/>
              </w:rPr>
              <w:t>Investing activities</w:t>
            </w:r>
          </w:p>
        </w:tc>
        <w:tc>
          <w:tcPr>
            <w:tcW w:w="180" w:type="dxa"/>
            <w:tcBorders>
              <w:top w:val="nil"/>
              <w:left w:val="nil"/>
              <w:bottom w:val="nil"/>
              <w:right w:val="nil"/>
            </w:tcBorders>
            <w:shd w:val="clear" w:color="auto" w:fill="auto"/>
            <w:noWrap/>
            <w:vAlign w:val="bottom"/>
            <w:hideMark/>
          </w:tcPr>
          <w:p w14:paraId="036CFA08" w14:textId="77777777" w:rsidR="00F933E1" w:rsidRDefault="00F933E1">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06C0A893"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280FD490" w14:textId="77777777" w:rsidR="00F933E1" w:rsidRDefault="00F933E1" w:rsidP="00663D03">
            <w:pPr>
              <w:ind w:right="-57"/>
              <w:jc w:val="right"/>
              <w:rPr>
                <w:sz w:val="20"/>
                <w:szCs w:val="20"/>
              </w:rPr>
            </w:pPr>
          </w:p>
        </w:tc>
        <w:tc>
          <w:tcPr>
            <w:tcW w:w="1480" w:type="dxa"/>
            <w:tcBorders>
              <w:top w:val="nil"/>
              <w:left w:val="nil"/>
              <w:bottom w:val="nil"/>
              <w:right w:val="nil"/>
            </w:tcBorders>
            <w:shd w:val="clear" w:color="auto" w:fill="auto"/>
            <w:noWrap/>
            <w:vAlign w:val="bottom"/>
            <w:hideMark/>
          </w:tcPr>
          <w:p w14:paraId="025A64E5"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60DD4ABB" w14:textId="77777777" w:rsidR="00F933E1" w:rsidRDefault="00F933E1" w:rsidP="00663D03">
            <w:pPr>
              <w:ind w:right="-57"/>
              <w:jc w:val="right"/>
              <w:rPr>
                <w:sz w:val="20"/>
                <w:szCs w:val="20"/>
              </w:rPr>
            </w:pPr>
          </w:p>
        </w:tc>
        <w:tc>
          <w:tcPr>
            <w:tcW w:w="1540" w:type="dxa"/>
            <w:tcBorders>
              <w:top w:val="nil"/>
              <w:left w:val="nil"/>
              <w:bottom w:val="nil"/>
              <w:right w:val="nil"/>
            </w:tcBorders>
            <w:shd w:val="clear" w:color="auto" w:fill="auto"/>
            <w:noWrap/>
            <w:vAlign w:val="bottom"/>
            <w:hideMark/>
          </w:tcPr>
          <w:p w14:paraId="2488C1DA" w14:textId="77777777" w:rsidR="00F933E1" w:rsidRDefault="00F933E1" w:rsidP="00663D03">
            <w:pPr>
              <w:ind w:right="-57"/>
              <w:jc w:val="right"/>
              <w:rPr>
                <w:sz w:val="20"/>
                <w:szCs w:val="20"/>
              </w:rPr>
            </w:pPr>
          </w:p>
        </w:tc>
      </w:tr>
      <w:tr w:rsidR="00F933E1" w14:paraId="5137E2C3" w14:textId="77777777" w:rsidTr="00F933E1">
        <w:trPr>
          <w:trHeight w:val="300"/>
        </w:trPr>
        <w:tc>
          <w:tcPr>
            <w:tcW w:w="4920" w:type="dxa"/>
            <w:tcBorders>
              <w:top w:val="nil"/>
              <w:left w:val="nil"/>
              <w:bottom w:val="nil"/>
              <w:right w:val="nil"/>
            </w:tcBorders>
            <w:shd w:val="clear" w:color="auto" w:fill="auto"/>
            <w:noWrap/>
            <w:vAlign w:val="bottom"/>
            <w:hideMark/>
          </w:tcPr>
          <w:p w14:paraId="5EB6C185" w14:textId="77777777" w:rsidR="00F933E1" w:rsidRDefault="00F933E1">
            <w:pPr>
              <w:rPr>
                <w:rFonts w:ascii="Calibri Light" w:hAnsi="Calibri Light" w:cs="Arial"/>
                <w:sz w:val="22"/>
                <w:szCs w:val="22"/>
              </w:rPr>
            </w:pPr>
            <w:r>
              <w:rPr>
                <w:rFonts w:ascii="Calibri Light" w:hAnsi="Calibri Light" w:cs="Arial"/>
                <w:sz w:val="22"/>
                <w:szCs w:val="22"/>
              </w:rPr>
              <w:t>Interest paid</w:t>
            </w:r>
          </w:p>
        </w:tc>
        <w:tc>
          <w:tcPr>
            <w:tcW w:w="180" w:type="dxa"/>
            <w:tcBorders>
              <w:top w:val="nil"/>
              <w:left w:val="nil"/>
              <w:bottom w:val="nil"/>
              <w:right w:val="nil"/>
            </w:tcBorders>
            <w:shd w:val="clear" w:color="auto" w:fill="auto"/>
            <w:noWrap/>
            <w:vAlign w:val="bottom"/>
            <w:hideMark/>
          </w:tcPr>
          <w:p w14:paraId="242B011B" w14:textId="77777777" w:rsidR="00F933E1" w:rsidRDefault="00F933E1">
            <w:pPr>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20D630F7"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(26,200)</w:t>
            </w:r>
          </w:p>
        </w:tc>
        <w:tc>
          <w:tcPr>
            <w:tcW w:w="180" w:type="dxa"/>
            <w:tcBorders>
              <w:top w:val="nil"/>
              <w:left w:val="nil"/>
              <w:bottom w:val="nil"/>
              <w:right w:val="nil"/>
            </w:tcBorders>
            <w:shd w:val="clear" w:color="auto" w:fill="auto"/>
            <w:noWrap/>
            <w:vAlign w:val="bottom"/>
            <w:hideMark/>
          </w:tcPr>
          <w:p w14:paraId="54214A7F" w14:textId="77777777" w:rsidR="00F933E1" w:rsidRDefault="00F933E1" w:rsidP="00663D03">
            <w:pPr>
              <w:ind w:right="-57"/>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1C33D104"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(53,281)</w:t>
            </w:r>
          </w:p>
        </w:tc>
        <w:tc>
          <w:tcPr>
            <w:tcW w:w="180" w:type="dxa"/>
            <w:tcBorders>
              <w:top w:val="nil"/>
              <w:left w:val="nil"/>
              <w:bottom w:val="nil"/>
              <w:right w:val="nil"/>
            </w:tcBorders>
            <w:shd w:val="clear" w:color="auto" w:fill="auto"/>
            <w:noWrap/>
            <w:vAlign w:val="bottom"/>
            <w:hideMark/>
          </w:tcPr>
          <w:p w14:paraId="0AE648FE" w14:textId="77777777" w:rsidR="00F933E1" w:rsidRDefault="00F933E1" w:rsidP="00663D03">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3F8AF723"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(106,722)</w:t>
            </w:r>
          </w:p>
        </w:tc>
      </w:tr>
      <w:tr w:rsidR="00F933E1" w14:paraId="2CAED9B1" w14:textId="77777777" w:rsidTr="00F933E1">
        <w:trPr>
          <w:trHeight w:val="120"/>
        </w:trPr>
        <w:tc>
          <w:tcPr>
            <w:tcW w:w="4920" w:type="dxa"/>
            <w:tcBorders>
              <w:top w:val="nil"/>
              <w:left w:val="nil"/>
              <w:bottom w:val="nil"/>
              <w:right w:val="nil"/>
            </w:tcBorders>
            <w:shd w:val="clear" w:color="auto" w:fill="auto"/>
            <w:noWrap/>
            <w:vAlign w:val="bottom"/>
            <w:hideMark/>
          </w:tcPr>
          <w:p w14:paraId="68034601"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60A1752B"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2D18E689"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2F50EF89" w14:textId="77777777" w:rsidR="00F933E1" w:rsidRDefault="00F933E1" w:rsidP="00663D03">
            <w:pPr>
              <w:ind w:right="-57"/>
              <w:jc w:val="right"/>
              <w:rPr>
                <w:sz w:val="20"/>
                <w:szCs w:val="20"/>
              </w:rPr>
            </w:pPr>
          </w:p>
        </w:tc>
        <w:tc>
          <w:tcPr>
            <w:tcW w:w="1480" w:type="dxa"/>
            <w:tcBorders>
              <w:top w:val="nil"/>
              <w:left w:val="nil"/>
              <w:bottom w:val="nil"/>
              <w:right w:val="nil"/>
            </w:tcBorders>
            <w:shd w:val="clear" w:color="auto" w:fill="auto"/>
            <w:noWrap/>
            <w:vAlign w:val="bottom"/>
            <w:hideMark/>
          </w:tcPr>
          <w:p w14:paraId="4F022579"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20647078" w14:textId="77777777" w:rsidR="00F933E1" w:rsidRDefault="00F933E1" w:rsidP="00663D03">
            <w:pPr>
              <w:ind w:right="-57"/>
              <w:jc w:val="right"/>
              <w:rPr>
                <w:sz w:val="20"/>
                <w:szCs w:val="20"/>
              </w:rPr>
            </w:pPr>
          </w:p>
        </w:tc>
        <w:tc>
          <w:tcPr>
            <w:tcW w:w="1540" w:type="dxa"/>
            <w:tcBorders>
              <w:top w:val="single" w:sz="4" w:space="0" w:color="auto"/>
              <w:left w:val="nil"/>
              <w:bottom w:val="nil"/>
              <w:right w:val="nil"/>
            </w:tcBorders>
            <w:shd w:val="clear" w:color="auto" w:fill="auto"/>
            <w:noWrap/>
            <w:vAlign w:val="bottom"/>
            <w:hideMark/>
          </w:tcPr>
          <w:p w14:paraId="483B7972" w14:textId="77777777" w:rsidR="00F933E1" w:rsidRDefault="00F933E1" w:rsidP="00663D03">
            <w:pPr>
              <w:ind w:right="-57"/>
              <w:jc w:val="right"/>
              <w:rPr>
                <w:rFonts w:ascii="Calibri Light" w:hAnsi="Calibri Light" w:cs="Arial"/>
                <w:sz w:val="22"/>
                <w:szCs w:val="22"/>
              </w:rPr>
            </w:pPr>
            <w:r>
              <w:rPr>
                <w:rFonts w:ascii="Calibri Light" w:hAnsi="Calibri Light" w:cs="Arial"/>
                <w:sz w:val="22"/>
                <w:szCs w:val="22"/>
              </w:rPr>
              <w:t> </w:t>
            </w:r>
          </w:p>
        </w:tc>
      </w:tr>
      <w:tr w:rsidR="00F933E1" w14:paraId="670D97CF" w14:textId="77777777" w:rsidTr="00F933E1">
        <w:trPr>
          <w:trHeight w:val="300"/>
        </w:trPr>
        <w:tc>
          <w:tcPr>
            <w:tcW w:w="4920" w:type="dxa"/>
            <w:tcBorders>
              <w:top w:val="nil"/>
              <w:left w:val="nil"/>
              <w:bottom w:val="nil"/>
              <w:right w:val="nil"/>
            </w:tcBorders>
            <w:shd w:val="clear" w:color="auto" w:fill="auto"/>
            <w:vAlign w:val="bottom"/>
            <w:hideMark/>
          </w:tcPr>
          <w:p w14:paraId="4AE21585" w14:textId="77777777" w:rsidR="00F933E1" w:rsidRDefault="00F933E1">
            <w:pPr>
              <w:rPr>
                <w:rFonts w:ascii="Calibri Light" w:hAnsi="Calibri Light" w:cs="Arial"/>
                <w:b/>
                <w:bCs/>
                <w:sz w:val="22"/>
                <w:szCs w:val="22"/>
              </w:rPr>
            </w:pPr>
            <w:r>
              <w:rPr>
                <w:rFonts w:ascii="Calibri Light" w:hAnsi="Calibri Light" w:cs="Arial"/>
                <w:b/>
                <w:bCs/>
                <w:sz w:val="22"/>
                <w:szCs w:val="22"/>
              </w:rPr>
              <w:t>Net cash used in from investing activities</w:t>
            </w:r>
          </w:p>
        </w:tc>
        <w:tc>
          <w:tcPr>
            <w:tcW w:w="180" w:type="dxa"/>
            <w:tcBorders>
              <w:top w:val="nil"/>
              <w:left w:val="nil"/>
              <w:bottom w:val="nil"/>
              <w:right w:val="nil"/>
            </w:tcBorders>
            <w:shd w:val="clear" w:color="auto" w:fill="auto"/>
            <w:noWrap/>
            <w:vAlign w:val="bottom"/>
            <w:hideMark/>
          </w:tcPr>
          <w:p w14:paraId="5E606E53" w14:textId="77777777" w:rsidR="00F933E1" w:rsidRDefault="00F933E1">
            <w:pPr>
              <w:rPr>
                <w:rFonts w:ascii="Calibri Light" w:hAnsi="Calibri Light" w:cs="Arial"/>
                <w:b/>
                <w:bCs/>
                <w:sz w:val="22"/>
                <w:szCs w:val="22"/>
              </w:rPr>
            </w:pPr>
          </w:p>
        </w:tc>
        <w:tc>
          <w:tcPr>
            <w:tcW w:w="1540" w:type="dxa"/>
            <w:tcBorders>
              <w:top w:val="nil"/>
              <w:left w:val="nil"/>
              <w:bottom w:val="single" w:sz="4" w:space="0" w:color="auto"/>
              <w:right w:val="nil"/>
            </w:tcBorders>
            <w:shd w:val="clear" w:color="auto" w:fill="auto"/>
            <w:noWrap/>
            <w:vAlign w:val="bottom"/>
            <w:hideMark/>
          </w:tcPr>
          <w:p w14:paraId="34754C48"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(26,200)</w:t>
            </w:r>
          </w:p>
        </w:tc>
        <w:tc>
          <w:tcPr>
            <w:tcW w:w="180" w:type="dxa"/>
            <w:tcBorders>
              <w:top w:val="nil"/>
              <w:left w:val="nil"/>
              <w:bottom w:val="nil"/>
              <w:right w:val="nil"/>
            </w:tcBorders>
            <w:shd w:val="clear" w:color="auto" w:fill="auto"/>
            <w:noWrap/>
            <w:vAlign w:val="bottom"/>
            <w:hideMark/>
          </w:tcPr>
          <w:p w14:paraId="12FC2FBD" w14:textId="77777777" w:rsidR="00F933E1" w:rsidRDefault="00F933E1" w:rsidP="00663D03">
            <w:pPr>
              <w:ind w:right="-57"/>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6FC0275F"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(53,281)</w:t>
            </w:r>
          </w:p>
        </w:tc>
        <w:tc>
          <w:tcPr>
            <w:tcW w:w="180" w:type="dxa"/>
            <w:tcBorders>
              <w:top w:val="nil"/>
              <w:left w:val="nil"/>
              <w:bottom w:val="nil"/>
              <w:right w:val="nil"/>
            </w:tcBorders>
            <w:shd w:val="clear" w:color="auto" w:fill="auto"/>
            <w:noWrap/>
            <w:vAlign w:val="bottom"/>
            <w:hideMark/>
          </w:tcPr>
          <w:p w14:paraId="39B34CD1" w14:textId="77777777" w:rsidR="00F933E1" w:rsidRDefault="00F933E1" w:rsidP="00663D03">
            <w:pPr>
              <w:ind w:right="-57"/>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2E96B795" w14:textId="77777777" w:rsidR="00F933E1" w:rsidRDefault="00F933E1" w:rsidP="00663D03">
            <w:pPr>
              <w:ind w:right="-57"/>
              <w:jc w:val="right"/>
              <w:rPr>
                <w:rFonts w:ascii="Calibri Light" w:hAnsi="Calibri Light" w:cs="Arial"/>
                <w:sz w:val="22"/>
                <w:szCs w:val="22"/>
              </w:rPr>
            </w:pPr>
            <w:r>
              <w:rPr>
                <w:rFonts w:ascii="Calibri Light" w:hAnsi="Calibri Light" w:cs="Arial"/>
                <w:color w:val="FF0000"/>
                <w:sz w:val="22"/>
                <w:szCs w:val="22"/>
              </w:rPr>
              <w:t>(106,722)</w:t>
            </w:r>
          </w:p>
        </w:tc>
      </w:tr>
      <w:tr w:rsidR="00F933E1" w14:paraId="45EA5919" w14:textId="77777777" w:rsidTr="00F933E1">
        <w:trPr>
          <w:trHeight w:val="300"/>
        </w:trPr>
        <w:tc>
          <w:tcPr>
            <w:tcW w:w="4920" w:type="dxa"/>
            <w:tcBorders>
              <w:top w:val="nil"/>
              <w:left w:val="nil"/>
              <w:bottom w:val="nil"/>
              <w:right w:val="nil"/>
            </w:tcBorders>
            <w:shd w:val="clear" w:color="auto" w:fill="auto"/>
            <w:noWrap/>
            <w:vAlign w:val="bottom"/>
            <w:hideMark/>
          </w:tcPr>
          <w:p w14:paraId="0F85C162"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195896A2"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76978A02"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2E9661AB" w14:textId="77777777" w:rsidR="00F933E1" w:rsidRDefault="00F933E1" w:rsidP="00663D03">
            <w:pPr>
              <w:ind w:right="-57"/>
              <w:jc w:val="right"/>
              <w:rPr>
                <w:sz w:val="20"/>
                <w:szCs w:val="20"/>
              </w:rPr>
            </w:pPr>
          </w:p>
        </w:tc>
        <w:tc>
          <w:tcPr>
            <w:tcW w:w="1480" w:type="dxa"/>
            <w:tcBorders>
              <w:top w:val="nil"/>
              <w:left w:val="nil"/>
              <w:bottom w:val="nil"/>
              <w:right w:val="nil"/>
            </w:tcBorders>
            <w:shd w:val="clear" w:color="auto" w:fill="auto"/>
            <w:noWrap/>
            <w:vAlign w:val="bottom"/>
            <w:hideMark/>
          </w:tcPr>
          <w:p w14:paraId="5A2DA92C" w14:textId="77777777" w:rsidR="00F933E1" w:rsidRDefault="00F933E1" w:rsidP="00663D03">
            <w:pPr>
              <w:ind w:right="-57"/>
              <w:jc w:val="right"/>
              <w:rPr>
                <w:sz w:val="20"/>
                <w:szCs w:val="20"/>
              </w:rPr>
            </w:pPr>
          </w:p>
        </w:tc>
        <w:tc>
          <w:tcPr>
            <w:tcW w:w="180" w:type="dxa"/>
            <w:tcBorders>
              <w:top w:val="nil"/>
              <w:left w:val="nil"/>
              <w:bottom w:val="nil"/>
              <w:right w:val="nil"/>
            </w:tcBorders>
            <w:shd w:val="clear" w:color="auto" w:fill="auto"/>
            <w:noWrap/>
            <w:vAlign w:val="bottom"/>
            <w:hideMark/>
          </w:tcPr>
          <w:p w14:paraId="24BFE4D6" w14:textId="77777777" w:rsidR="00F933E1" w:rsidRDefault="00F933E1" w:rsidP="00663D03">
            <w:pPr>
              <w:ind w:right="-57"/>
              <w:jc w:val="right"/>
              <w:rPr>
                <w:sz w:val="20"/>
                <w:szCs w:val="20"/>
              </w:rPr>
            </w:pPr>
          </w:p>
        </w:tc>
        <w:tc>
          <w:tcPr>
            <w:tcW w:w="1540" w:type="dxa"/>
            <w:tcBorders>
              <w:top w:val="nil"/>
              <w:left w:val="nil"/>
              <w:bottom w:val="nil"/>
              <w:right w:val="nil"/>
            </w:tcBorders>
            <w:shd w:val="clear" w:color="auto" w:fill="auto"/>
            <w:noWrap/>
            <w:vAlign w:val="bottom"/>
            <w:hideMark/>
          </w:tcPr>
          <w:p w14:paraId="70BAB623" w14:textId="77777777" w:rsidR="00F933E1" w:rsidRDefault="00F933E1" w:rsidP="00663D03">
            <w:pPr>
              <w:ind w:right="-57"/>
              <w:jc w:val="right"/>
              <w:rPr>
                <w:sz w:val="20"/>
                <w:szCs w:val="20"/>
              </w:rPr>
            </w:pPr>
          </w:p>
        </w:tc>
      </w:tr>
      <w:tr w:rsidR="00F933E1" w14:paraId="0D06B49B" w14:textId="77777777" w:rsidTr="00F933E1">
        <w:trPr>
          <w:trHeight w:val="300"/>
        </w:trPr>
        <w:tc>
          <w:tcPr>
            <w:tcW w:w="4920" w:type="dxa"/>
            <w:tcBorders>
              <w:top w:val="nil"/>
              <w:left w:val="nil"/>
              <w:bottom w:val="nil"/>
              <w:right w:val="nil"/>
            </w:tcBorders>
            <w:shd w:val="clear" w:color="auto" w:fill="auto"/>
            <w:noWrap/>
            <w:vAlign w:val="bottom"/>
            <w:hideMark/>
          </w:tcPr>
          <w:p w14:paraId="4A68DBA3" w14:textId="77777777" w:rsidR="00F933E1" w:rsidRDefault="00F933E1">
            <w:pPr>
              <w:rPr>
                <w:rFonts w:ascii="Calibri Light" w:hAnsi="Calibri Light" w:cs="Arial"/>
                <w:b/>
                <w:bCs/>
                <w:sz w:val="22"/>
                <w:szCs w:val="22"/>
              </w:rPr>
            </w:pPr>
            <w:r>
              <w:rPr>
                <w:rFonts w:ascii="Calibri Light" w:hAnsi="Calibri Light" w:cs="Arial"/>
                <w:b/>
                <w:bCs/>
                <w:sz w:val="22"/>
                <w:szCs w:val="22"/>
              </w:rPr>
              <w:t>Financing activities</w:t>
            </w:r>
          </w:p>
        </w:tc>
        <w:tc>
          <w:tcPr>
            <w:tcW w:w="180" w:type="dxa"/>
            <w:tcBorders>
              <w:top w:val="nil"/>
              <w:left w:val="nil"/>
              <w:bottom w:val="nil"/>
              <w:right w:val="nil"/>
            </w:tcBorders>
            <w:shd w:val="clear" w:color="auto" w:fill="auto"/>
            <w:noWrap/>
            <w:vAlign w:val="bottom"/>
            <w:hideMark/>
          </w:tcPr>
          <w:p w14:paraId="33BEE7F6" w14:textId="77777777" w:rsidR="00F933E1" w:rsidRDefault="00F933E1">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3DD5A9D9"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48E1CFBC" w14:textId="77777777" w:rsidR="00F933E1" w:rsidRDefault="00F933E1" w:rsidP="00C23CEA">
            <w:pPr>
              <w:jc w:val="right"/>
              <w:rPr>
                <w:sz w:val="20"/>
                <w:szCs w:val="20"/>
              </w:rPr>
            </w:pPr>
          </w:p>
        </w:tc>
        <w:tc>
          <w:tcPr>
            <w:tcW w:w="1480" w:type="dxa"/>
            <w:tcBorders>
              <w:top w:val="nil"/>
              <w:left w:val="nil"/>
              <w:bottom w:val="nil"/>
              <w:right w:val="nil"/>
            </w:tcBorders>
            <w:shd w:val="clear" w:color="auto" w:fill="auto"/>
            <w:noWrap/>
            <w:vAlign w:val="bottom"/>
            <w:hideMark/>
          </w:tcPr>
          <w:p w14:paraId="19EB3A56"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7029C351" w14:textId="77777777" w:rsidR="00F933E1" w:rsidRDefault="00F933E1" w:rsidP="00C23CEA">
            <w:pPr>
              <w:jc w:val="right"/>
              <w:rPr>
                <w:sz w:val="20"/>
                <w:szCs w:val="20"/>
              </w:rPr>
            </w:pPr>
          </w:p>
        </w:tc>
        <w:tc>
          <w:tcPr>
            <w:tcW w:w="1540" w:type="dxa"/>
            <w:tcBorders>
              <w:top w:val="nil"/>
              <w:left w:val="nil"/>
              <w:bottom w:val="nil"/>
              <w:right w:val="nil"/>
            </w:tcBorders>
            <w:shd w:val="clear" w:color="auto" w:fill="auto"/>
            <w:noWrap/>
            <w:vAlign w:val="bottom"/>
            <w:hideMark/>
          </w:tcPr>
          <w:p w14:paraId="0D36DE9C" w14:textId="77777777" w:rsidR="00F933E1" w:rsidRDefault="00F933E1" w:rsidP="00C23CEA">
            <w:pPr>
              <w:jc w:val="right"/>
              <w:rPr>
                <w:sz w:val="20"/>
                <w:szCs w:val="20"/>
              </w:rPr>
            </w:pPr>
          </w:p>
        </w:tc>
      </w:tr>
      <w:tr w:rsidR="00F933E1" w14:paraId="12B17949" w14:textId="77777777" w:rsidTr="00F933E1">
        <w:trPr>
          <w:trHeight w:val="300"/>
        </w:trPr>
        <w:tc>
          <w:tcPr>
            <w:tcW w:w="4920" w:type="dxa"/>
            <w:tcBorders>
              <w:top w:val="nil"/>
              <w:left w:val="nil"/>
              <w:bottom w:val="nil"/>
              <w:right w:val="nil"/>
            </w:tcBorders>
            <w:shd w:val="clear" w:color="auto" w:fill="auto"/>
            <w:noWrap/>
            <w:vAlign w:val="bottom"/>
            <w:hideMark/>
          </w:tcPr>
          <w:p w14:paraId="554B5F0C" w14:textId="77777777" w:rsidR="00F933E1" w:rsidRDefault="00F933E1">
            <w:pPr>
              <w:rPr>
                <w:rFonts w:ascii="Calibri Light" w:hAnsi="Calibri Light" w:cs="Arial"/>
                <w:sz w:val="22"/>
                <w:szCs w:val="22"/>
              </w:rPr>
            </w:pPr>
            <w:r>
              <w:rPr>
                <w:rFonts w:ascii="Calibri Light" w:hAnsi="Calibri Light" w:cs="Arial"/>
                <w:sz w:val="22"/>
                <w:szCs w:val="22"/>
              </w:rPr>
              <w:t>Bank loan repayment</w:t>
            </w:r>
          </w:p>
        </w:tc>
        <w:tc>
          <w:tcPr>
            <w:tcW w:w="180" w:type="dxa"/>
            <w:tcBorders>
              <w:top w:val="nil"/>
              <w:left w:val="nil"/>
              <w:bottom w:val="nil"/>
              <w:right w:val="nil"/>
            </w:tcBorders>
            <w:shd w:val="clear" w:color="auto" w:fill="auto"/>
            <w:noWrap/>
            <w:vAlign w:val="bottom"/>
            <w:hideMark/>
          </w:tcPr>
          <w:p w14:paraId="478A26CD"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19FF5F57"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(3,890)</w:t>
            </w:r>
          </w:p>
        </w:tc>
        <w:tc>
          <w:tcPr>
            <w:tcW w:w="180" w:type="dxa"/>
            <w:tcBorders>
              <w:top w:val="nil"/>
              <w:left w:val="nil"/>
              <w:bottom w:val="nil"/>
              <w:right w:val="nil"/>
            </w:tcBorders>
            <w:shd w:val="clear" w:color="auto" w:fill="auto"/>
            <w:noWrap/>
            <w:vAlign w:val="bottom"/>
            <w:hideMark/>
          </w:tcPr>
          <w:p w14:paraId="74F9506A"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1B8EDB1C" w14:textId="2A888EF7" w:rsidR="00F933E1" w:rsidRDefault="00F933E1" w:rsidP="003D3CE5">
            <w:pPr>
              <w:rPr>
                <w:rFonts w:ascii="Calibri Light" w:hAnsi="Calibri Light" w:cs="Arial"/>
                <w:sz w:val="22"/>
                <w:szCs w:val="22"/>
              </w:rPr>
            </w:pPr>
            <w:r>
              <w:rPr>
                <w:rFonts w:ascii="Calibri Light" w:hAnsi="Calibri Light" w:cs="Arial"/>
                <w:sz w:val="22"/>
                <w:szCs w:val="22"/>
              </w:rPr>
              <w:t xml:space="preserve">                        -   </w:t>
            </w:r>
          </w:p>
        </w:tc>
        <w:tc>
          <w:tcPr>
            <w:tcW w:w="180" w:type="dxa"/>
            <w:tcBorders>
              <w:top w:val="nil"/>
              <w:left w:val="nil"/>
              <w:bottom w:val="nil"/>
              <w:right w:val="nil"/>
            </w:tcBorders>
            <w:shd w:val="clear" w:color="auto" w:fill="auto"/>
            <w:noWrap/>
            <w:vAlign w:val="bottom"/>
            <w:hideMark/>
          </w:tcPr>
          <w:p w14:paraId="52788A87" w14:textId="77777777" w:rsidR="00F933E1" w:rsidRDefault="00F933E1" w:rsidP="00C23CEA">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5673036"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(7,238)</w:t>
            </w:r>
          </w:p>
        </w:tc>
      </w:tr>
      <w:tr w:rsidR="00F933E1" w14:paraId="7B96BF01" w14:textId="77777777" w:rsidTr="00F933E1">
        <w:trPr>
          <w:trHeight w:val="300"/>
        </w:trPr>
        <w:tc>
          <w:tcPr>
            <w:tcW w:w="4920" w:type="dxa"/>
            <w:tcBorders>
              <w:top w:val="nil"/>
              <w:left w:val="nil"/>
              <w:bottom w:val="nil"/>
              <w:right w:val="nil"/>
            </w:tcBorders>
            <w:shd w:val="clear" w:color="auto" w:fill="auto"/>
            <w:noWrap/>
            <w:vAlign w:val="bottom"/>
            <w:hideMark/>
          </w:tcPr>
          <w:p w14:paraId="3D86AE20" w14:textId="77777777" w:rsidR="00F933E1" w:rsidRDefault="00F933E1">
            <w:pPr>
              <w:rPr>
                <w:rFonts w:ascii="Calibri Light" w:hAnsi="Calibri Light" w:cs="Arial"/>
                <w:sz w:val="22"/>
                <w:szCs w:val="22"/>
              </w:rPr>
            </w:pPr>
            <w:r>
              <w:rPr>
                <w:rFonts w:ascii="Calibri Light" w:hAnsi="Calibri Light" w:cs="Arial"/>
                <w:sz w:val="22"/>
                <w:szCs w:val="22"/>
              </w:rPr>
              <w:t>Loan repayments</w:t>
            </w:r>
          </w:p>
        </w:tc>
        <w:tc>
          <w:tcPr>
            <w:tcW w:w="180" w:type="dxa"/>
            <w:tcBorders>
              <w:top w:val="nil"/>
              <w:left w:val="nil"/>
              <w:bottom w:val="nil"/>
              <w:right w:val="nil"/>
            </w:tcBorders>
            <w:shd w:val="clear" w:color="auto" w:fill="auto"/>
            <w:noWrap/>
            <w:vAlign w:val="bottom"/>
            <w:hideMark/>
          </w:tcPr>
          <w:p w14:paraId="72D2DBD6"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1E489542"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(21,446)</w:t>
            </w:r>
          </w:p>
        </w:tc>
        <w:tc>
          <w:tcPr>
            <w:tcW w:w="180" w:type="dxa"/>
            <w:tcBorders>
              <w:top w:val="nil"/>
              <w:left w:val="nil"/>
              <w:bottom w:val="nil"/>
              <w:right w:val="nil"/>
            </w:tcBorders>
            <w:shd w:val="clear" w:color="auto" w:fill="auto"/>
            <w:noWrap/>
            <w:vAlign w:val="bottom"/>
            <w:hideMark/>
          </w:tcPr>
          <w:p w14:paraId="6192C9D5"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5755EDCF"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(37,530)</w:t>
            </w:r>
          </w:p>
        </w:tc>
        <w:tc>
          <w:tcPr>
            <w:tcW w:w="180" w:type="dxa"/>
            <w:tcBorders>
              <w:top w:val="nil"/>
              <w:left w:val="nil"/>
              <w:bottom w:val="nil"/>
              <w:right w:val="nil"/>
            </w:tcBorders>
            <w:shd w:val="clear" w:color="auto" w:fill="auto"/>
            <w:noWrap/>
            <w:vAlign w:val="bottom"/>
            <w:hideMark/>
          </w:tcPr>
          <w:p w14:paraId="1690FA97" w14:textId="77777777" w:rsidR="00F933E1" w:rsidRDefault="00F933E1" w:rsidP="00C23CEA">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52EA24E8"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(56,294)</w:t>
            </w:r>
          </w:p>
        </w:tc>
      </w:tr>
      <w:tr w:rsidR="00F933E1" w14:paraId="53C227A8" w14:textId="77777777" w:rsidTr="00F933E1">
        <w:trPr>
          <w:trHeight w:val="300"/>
        </w:trPr>
        <w:tc>
          <w:tcPr>
            <w:tcW w:w="4920" w:type="dxa"/>
            <w:tcBorders>
              <w:top w:val="nil"/>
              <w:left w:val="nil"/>
              <w:bottom w:val="nil"/>
              <w:right w:val="nil"/>
            </w:tcBorders>
            <w:shd w:val="clear" w:color="auto" w:fill="auto"/>
            <w:noWrap/>
            <w:vAlign w:val="bottom"/>
            <w:hideMark/>
          </w:tcPr>
          <w:p w14:paraId="612A8AB0" w14:textId="77777777" w:rsidR="00F933E1" w:rsidRDefault="00F933E1">
            <w:pPr>
              <w:rPr>
                <w:rFonts w:ascii="Calibri Light" w:hAnsi="Calibri Light" w:cs="Arial"/>
                <w:sz w:val="22"/>
                <w:szCs w:val="22"/>
              </w:rPr>
            </w:pPr>
            <w:r>
              <w:rPr>
                <w:rFonts w:ascii="Calibri Light" w:hAnsi="Calibri Light" w:cs="Arial"/>
                <w:sz w:val="22"/>
                <w:szCs w:val="22"/>
              </w:rPr>
              <w:t>Issue of share capital</w:t>
            </w:r>
          </w:p>
        </w:tc>
        <w:tc>
          <w:tcPr>
            <w:tcW w:w="180" w:type="dxa"/>
            <w:tcBorders>
              <w:top w:val="nil"/>
              <w:left w:val="nil"/>
              <w:bottom w:val="nil"/>
              <w:right w:val="nil"/>
            </w:tcBorders>
            <w:shd w:val="clear" w:color="auto" w:fill="auto"/>
            <w:noWrap/>
            <w:vAlign w:val="bottom"/>
            <w:hideMark/>
          </w:tcPr>
          <w:p w14:paraId="38176F8F"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61F90D2" w14:textId="7BFABD57" w:rsidR="00F933E1" w:rsidRDefault="00F933E1" w:rsidP="003D3CE5">
            <w:pPr>
              <w:jc w:val="right"/>
              <w:rPr>
                <w:rFonts w:ascii="Calibri Light" w:hAnsi="Calibri Light" w:cs="Arial"/>
                <w:sz w:val="22"/>
                <w:szCs w:val="22"/>
              </w:rPr>
            </w:pPr>
            <w:r>
              <w:rPr>
                <w:rFonts w:ascii="Calibri Light" w:hAnsi="Calibri Light" w:cs="Arial"/>
                <w:sz w:val="22"/>
                <w:szCs w:val="22"/>
              </w:rPr>
              <w:t xml:space="preserve">        2,618,599 </w:t>
            </w:r>
          </w:p>
        </w:tc>
        <w:tc>
          <w:tcPr>
            <w:tcW w:w="180" w:type="dxa"/>
            <w:tcBorders>
              <w:top w:val="nil"/>
              <w:left w:val="nil"/>
              <w:bottom w:val="nil"/>
              <w:right w:val="nil"/>
            </w:tcBorders>
            <w:shd w:val="clear" w:color="auto" w:fill="auto"/>
            <w:noWrap/>
            <w:vAlign w:val="bottom"/>
            <w:hideMark/>
          </w:tcPr>
          <w:p w14:paraId="3403BA42" w14:textId="77777777" w:rsidR="00F933E1" w:rsidRDefault="00F933E1" w:rsidP="003D3CE5">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0E0D3418" w14:textId="46EEBD16" w:rsidR="00F933E1" w:rsidRDefault="00F933E1" w:rsidP="003D3CE5">
            <w:pPr>
              <w:jc w:val="right"/>
              <w:rPr>
                <w:rFonts w:ascii="Calibri Light" w:hAnsi="Calibri Light" w:cs="Arial"/>
                <w:sz w:val="22"/>
                <w:szCs w:val="22"/>
              </w:rPr>
            </w:pPr>
            <w:r>
              <w:rPr>
                <w:rFonts w:ascii="Calibri Light" w:hAnsi="Calibri Light" w:cs="Arial"/>
                <w:sz w:val="22"/>
                <w:szCs w:val="22"/>
              </w:rPr>
              <w:t xml:space="preserve">          750,000 </w:t>
            </w:r>
          </w:p>
        </w:tc>
        <w:tc>
          <w:tcPr>
            <w:tcW w:w="180" w:type="dxa"/>
            <w:tcBorders>
              <w:top w:val="nil"/>
              <w:left w:val="nil"/>
              <w:bottom w:val="nil"/>
              <w:right w:val="nil"/>
            </w:tcBorders>
            <w:shd w:val="clear" w:color="auto" w:fill="auto"/>
            <w:noWrap/>
            <w:vAlign w:val="bottom"/>
            <w:hideMark/>
          </w:tcPr>
          <w:p w14:paraId="2B944673" w14:textId="77777777" w:rsidR="00F933E1" w:rsidRDefault="00F933E1" w:rsidP="003D3CE5">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25F796C" w14:textId="4992496D" w:rsidR="00F933E1" w:rsidRDefault="00F933E1" w:rsidP="003D3CE5">
            <w:pPr>
              <w:jc w:val="right"/>
              <w:rPr>
                <w:rFonts w:ascii="Calibri Light" w:hAnsi="Calibri Light" w:cs="Arial"/>
                <w:sz w:val="22"/>
                <w:szCs w:val="22"/>
              </w:rPr>
            </w:pPr>
            <w:r>
              <w:rPr>
                <w:rFonts w:ascii="Calibri Light" w:hAnsi="Calibri Light" w:cs="Arial"/>
                <w:sz w:val="22"/>
                <w:szCs w:val="22"/>
              </w:rPr>
              <w:t xml:space="preserve">        1,165,838 </w:t>
            </w:r>
          </w:p>
        </w:tc>
      </w:tr>
      <w:tr w:rsidR="00F933E1" w14:paraId="528C2204" w14:textId="77777777" w:rsidTr="00F933E1">
        <w:trPr>
          <w:trHeight w:val="300"/>
        </w:trPr>
        <w:tc>
          <w:tcPr>
            <w:tcW w:w="4920" w:type="dxa"/>
            <w:tcBorders>
              <w:top w:val="nil"/>
              <w:left w:val="nil"/>
              <w:bottom w:val="nil"/>
              <w:right w:val="nil"/>
            </w:tcBorders>
            <w:shd w:val="clear" w:color="auto" w:fill="auto"/>
            <w:noWrap/>
            <w:vAlign w:val="bottom"/>
            <w:hideMark/>
          </w:tcPr>
          <w:p w14:paraId="5A7848F2" w14:textId="77777777" w:rsidR="00F933E1" w:rsidRDefault="00F933E1">
            <w:pPr>
              <w:rPr>
                <w:rFonts w:ascii="Calibri Light" w:hAnsi="Calibri Light" w:cs="Arial"/>
                <w:sz w:val="22"/>
                <w:szCs w:val="22"/>
              </w:rPr>
            </w:pPr>
            <w:r>
              <w:rPr>
                <w:rFonts w:ascii="Calibri Light" w:hAnsi="Calibri Light" w:cs="Arial"/>
                <w:sz w:val="22"/>
                <w:szCs w:val="22"/>
              </w:rPr>
              <w:t>Costs in respect of share issue</w:t>
            </w:r>
          </w:p>
        </w:tc>
        <w:tc>
          <w:tcPr>
            <w:tcW w:w="180" w:type="dxa"/>
            <w:tcBorders>
              <w:top w:val="nil"/>
              <w:left w:val="nil"/>
              <w:bottom w:val="nil"/>
              <w:right w:val="nil"/>
            </w:tcBorders>
            <w:shd w:val="clear" w:color="auto" w:fill="auto"/>
            <w:noWrap/>
            <w:vAlign w:val="bottom"/>
            <w:hideMark/>
          </w:tcPr>
          <w:p w14:paraId="539361DA" w14:textId="77777777" w:rsidR="00F933E1" w:rsidRDefault="00F933E1">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581DBE49"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(112,103)</w:t>
            </w:r>
          </w:p>
        </w:tc>
        <w:tc>
          <w:tcPr>
            <w:tcW w:w="180" w:type="dxa"/>
            <w:tcBorders>
              <w:top w:val="nil"/>
              <w:left w:val="nil"/>
              <w:bottom w:val="nil"/>
              <w:right w:val="nil"/>
            </w:tcBorders>
            <w:shd w:val="clear" w:color="auto" w:fill="auto"/>
            <w:noWrap/>
            <w:vAlign w:val="bottom"/>
            <w:hideMark/>
          </w:tcPr>
          <w:p w14:paraId="0819EB69" w14:textId="77777777" w:rsidR="00F933E1" w:rsidRDefault="00F933E1" w:rsidP="003D3CE5">
            <w:pPr>
              <w:ind w:right="-57"/>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6568DC68"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(54,900)</w:t>
            </w:r>
          </w:p>
        </w:tc>
        <w:tc>
          <w:tcPr>
            <w:tcW w:w="180" w:type="dxa"/>
            <w:tcBorders>
              <w:top w:val="nil"/>
              <w:left w:val="nil"/>
              <w:bottom w:val="nil"/>
              <w:right w:val="nil"/>
            </w:tcBorders>
            <w:shd w:val="clear" w:color="auto" w:fill="auto"/>
            <w:noWrap/>
            <w:vAlign w:val="bottom"/>
            <w:hideMark/>
          </w:tcPr>
          <w:p w14:paraId="02DC63A4" w14:textId="77777777" w:rsidR="00F933E1" w:rsidRDefault="00F933E1" w:rsidP="003D3CE5">
            <w:pPr>
              <w:ind w:right="-57"/>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5BE74698" w14:textId="77777777" w:rsidR="00F933E1" w:rsidRDefault="00F933E1" w:rsidP="003D3CE5">
            <w:pPr>
              <w:ind w:right="-57"/>
              <w:jc w:val="right"/>
              <w:rPr>
                <w:rFonts w:ascii="Calibri Light" w:hAnsi="Calibri Light" w:cs="Arial"/>
                <w:sz w:val="22"/>
                <w:szCs w:val="22"/>
              </w:rPr>
            </w:pPr>
            <w:r>
              <w:rPr>
                <w:rFonts w:ascii="Calibri Light" w:hAnsi="Calibri Light" w:cs="Arial"/>
                <w:color w:val="FF0000"/>
                <w:sz w:val="22"/>
                <w:szCs w:val="22"/>
              </w:rPr>
              <w:t>(54,900)</w:t>
            </w:r>
          </w:p>
        </w:tc>
      </w:tr>
      <w:tr w:rsidR="00F933E1" w14:paraId="2CF3AF4E" w14:textId="77777777" w:rsidTr="00F933E1">
        <w:trPr>
          <w:trHeight w:val="120"/>
        </w:trPr>
        <w:tc>
          <w:tcPr>
            <w:tcW w:w="4920" w:type="dxa"/>
            <w:tcBorders>
              <w:top w:val="nil"/>
              <w:left w:val="nil"/>
              <w:bottom w:val="nil"/>
              <w:right w:val="nil"/>
            </w:tcBorders>
            <w:shd w:val="clear" w:color="auto" w:fill="auto"/>
            <w:noWrap/>
            <w:vAlign w:val="bottom"/>
            <w:hideMark/>
          </w:tcPr>
          <w:p w14:paraId="6501DA67"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1324914A" w14:textId="77777777" w:rsidR="00F933E1" w:rsidRDefault="00F933E1">
            <w:pPr>
              <w:rPr>
                <w:sz w:val="20"/>
                <w:szCs w:val="20"/>
              </w:rPr>
            </w:pPr>
          </w:p>
        </w:tc>
        <w:tc>
          <w:tcPr>
            <w:tcW w:w="1540" w:type="dxa"/>
            <w:tcBorders>
              <w:top w:val="single" w:sz="4" w:space="0" w:color="auto"/>
              <w:left w:val="nil"/>
              <w:bottom w:val="nil"/>
              <w:right w:val="nil"/>
            </w:tcBorders>
            <w:shd w:val="clear" w:color="auto" w:fill="auto"/>
            <w:noWrap/>
            <w:vAlign w:val="bottom"/>
            <w:hideMark/>
          </w:tcPr>
          <w:p w14:paraId="7CE67EA0" w14:textId="77777777" w:rsidR="00F933E1" w:rsidRDefault="00F933E1" w:rsidP="00C23CEA">
            <w:pPr>
              <w:jc w:val="right"/>
              <w:rPr>
                <w:rFonts w:ascii="Calibri Light" w:hAnsi="Calibri Light" w:cs="Arial"/>
                <w:sz w:val="22"/>
                <w:szCs w:val="22"/>
              </w:rPr>
            </w:pPr>
            <w:r>
              <w:rPr>
                <w:rFonts w:ascii="Calibri Light" w:hAnsi="Calibri Light" w:cs="Arial"/>
                <w:sz w:val="22"/>
                <w:szCs w:val="22"/>
              </w:rPr>
              <w:t> </w:t>
            </w:r>
          </w:p>
        </w:tc>
        <w:tc>
          <w:tcPr>
            <w:tcW w:w="180" w:type="dxa"/>
            <w:tcBorders>
              <w:top w:val="nil"/>
              <w:left w:val="nil"/>
              <w:bottom w:val="nil"/>
              <w:right w:val="nil"/>
            </w:tcBorders>
            <w:shd w:val="clear" w:color="auto" w:fill="auto"/>
            <w:noWrap/>
            <w:vAlign w:val="bottom"/>
            <w:hideMark/>
          </w:tcPr>
          <w:p w14:paraId="3194A98D" w14:textId="77777777" w:rsidR="00F933E1" w:rsidRDefault="00F933E1" w:rsidP="00C23CEA">
            <w:pPr>
              <w:jc w:val="right"/>
              <w:rPr>
                <w:rFonts w:ascii="Calibri Light" w:hAnsi="Calibri Light" w:cs="Arial"/>
                <w:sz w:val="22"/>
                <w:szCs w:val="22"/>
              </w:rPr>
            </w:pPr>
          </w:p>
        </w:tc>
        <w:tc>
          <w:tcPr>
            <w:tcW w:w="1480" w:type="dxa"/>
            <w:tcBorders>
              <w:top w:val="single" w:sz="4" w:space="0" w:color="auto"/>
              <w:left w:val="nil"/>
              <w:bottom w:val="nil"/>
              <w:right w:val="nil"/>
            </w:tcBorders>
            <w:shd w:val="clear" w:color="auto" w:fill="auto"/>
            <w:noWrap/>
            <w:vAlign w:val="bottom"/>
            <w:hideMark/>
          </w:tcPr>
          <w:p w14:paraId="2F394F94" w14:textId="77777777" w:rsidR="00F933E1" w:rsidRDefault="00F933E1" w:rsidP="00C23CEA">
            <w:pPr>
              <w:jc w:val="right"/>
              <w:rPr>
                <w:rFonts w:ascii="Calibri Light" w:hAnsi="Calibri Light" w:cs="Arial"/>
                <w:sz w:val="22"/>
                <w:szCs w:val="22"/>
              </w:rPr>
            </w:pPr>
            <w:r>
              <w:rPr>
                <w:rFonts w:ascii="Calibri Light" w:hAnsi="Calibri Light" w:cs="Arial"/>
                <w:sz w:val="22"/>
                <w:szCs w:val="22"/>
              </w:rPr>
              <w:t> </w:t>
            </w:r>
          </w:p>
        </w:tc>
        <w:tc>
          <w:tcPr>
            <w:tcW w:w="180" w:type="dxa"/>
            <w:tcBorders>
              <w:top w:val="nil"/>
              <w:left w:val="nil"/>
              <w:bottom w:val="nil"/>
              <w:right w:val="nil"/>
            </w:tcBorders>
            <w:shd w:val="clear" w:color="auto" w:fill="auto"/>
            <w:noWrap/>
            <w:vAlign w:val="bottom"/>
            <w:hideMark/>
          </w:tcPr>
          <w:p w14:paraId="44AEB3F0" w14:textId="77777777" w:rsidR="00F933E1" w:rsidRDefault="00F933E1" w:rsidP="00C23CEA">
            <w:pPr>
              <w:jc w:val="right"/>
              <w:rPr>
                <w:rFonts w:ascii="Calibri Light" w:hAnsi="Calibri Light" w:cs="Arial"/>
                <w:sz w:val="22"/>
                <w:szCs w:val="22"/>
              </w:rPr>
            </w:pPr>
          </w:p>
        </w:tc>
        <w:tc>
          <w:tcPr>
            <w:tcW w:w="1540" w:type="dxa"/>
            <w:tcBorders>
              <w:top w:val="single" w:sz="4" w:space="0" w:color="auto"/>
              <w:left w:val="nil"/>
              <w:bottom w:val="nil"/>
              <w:right w:val="nil"/>
            </w:tcBorders>
            <w:shd w:val="clear" w:color="auto" w:fill="auto"/>
            <w:noWrap/>
            <w:vAlign w:val="bottom"/>
            <w:hideMark/>
          </w:tcPr>
          <w:p w14:paraId="7D39C97D" w14:textId="77777777" w:rsidR="00F933E1" w:rsidRDefault="00F933E1" w:rsidP="00C23CEA">
            <w:pPr>
              <w:jc w:val="right"/>
              <w:rPr>
                <w:rFonts w:ascii="Calibri Light" w:hAnsi="Calibri Light" w:cs="Arial"/>
                <w:sz w:val="22"/>
                <w:szCs w:val="22"/>
              </w:rPr>
            </w:pPr>
            <w:r>
              <w:rPr>
                <w:rFonts w:ascii="Calibri Light" w:hAnsi="Calibri Light" w:cs="Arial"/>
                <w:sz w:val="22"/>
                <w:szCs w:val="22"/>
              </w:rPr>
              <w:t> </w:t>
            </w:r>
          </w:p>
        </w:tc>
      </w:tr>
      <w:tr w:rsidR="00F933E1" w14:paraId="5BA2C39B" w14:textId="77777777" w:rsidTr="00F933E1">
        <w:trPr>
          <w:trHeight w:val="240"/>
        </w:trPr>
        <w:tc>
          <w:tcPr>
            <w:tcW w:w="4920" w:type="dxa"/>
            <w:tcBorders>
              <w:top w:val="nil"/>
              <w:left w:val="nil"/>
              <w:bottom w:val="nil"/>
              <w:right w:val="nil"/>
            </w:tcBorders>
            <w:shd w:val="clear" w:color="auto" w:fill="auto"/>
            <w:noWrap/>
            <w:vAlign w:val="bottom"/>
            <w:hideMark/>
          </w:tcPr>
          <w:p w14:paraId="1B991695" w14:textId="77777777" w:rsidR="00F933E1" w:rsidRDefault="00F933E1">
            <w:pPr>
              <w:rPr>
                <w:rFonts w:ascii="Calibri Light" w:hAnsi="Calibri Light" w:cs="Arial"/>
                <w:b/>
                <w:bCs/>
                <w:sz w:val="22"/>
                <w:szCs w:val="22"/>
              </w:rPr>
            </w:pPr>
            <w:r>
              <w:rPr>
                <w:rFonts w:ascii="Calibri Light" w:hAnsi="Calibri Light" w:cs="Arial"/>
                <w:b/>
                <w:bCs/>
                <w:sz w:val="22"/>
                <w:szCs w:val="22"/>
              </w:rPr>
              <w:t>Net cash generated from financing activities</w:t>
            </w:r>
          </w:p>
        </w:tc>
        <w:tc>
          <w:tcPr>
            <w:tcW w:w="180" w:type="dxa"/>
            <w:tcBorders>
              <w:top w:val="nil"/>
              <w:left w:val="nil"/>
              <w:bottom w:val="nil"/>
              <w:right w:val="nil"/>
            </w:tcBorders>
            <w:shd w:val="clear" w:color="auto" w:fill="auto"/>
            <w:noWrap/>
            <w:vAlign w:val="bottom"/>
            <w:hideMark/>
          </w:tcPr>
          <w:p w14:paraId="5B042466" w14:textId="77777777" w:rsidR="00F933E1" w:rsidRDefault="00F933E1">
            <w:pPr>
              <w:rPr>
                <w:rFonts w:ascii="Calibri Light" w:hAnsi="Calibri Light" w:cs="Arial"/>
                <w:b/>
                <w:bCs/>
                <w:sz w:val="22"/>
                <w:szCs w:val="22"/>
              </w:rPr>
            </w:pPr>
          </w:p>
        </w:tc>
        <w:tc>
          <w:tcPr>
            <w:tcW w:w="1540" w:type="dxa"/>
            <w:tcBorders>
              <w:top w:val="nil"/>
              <w:left w:val="nil"/>
              <w:bottom w:val="single" w:sz="4" w:space="0" w:color="auto"/>
              <w:right w:val="nil"/>
            </w:tcBorders>
            <w:shd w:val="clear" w:color="auto" w:fill="auto"/>
            <w:noWrap/>
            <w:vAlign w:val="bottom"/>
            <w:hideMark/>
          </w:tcPr>
          <w:p w14:paraId="48F547D4" w14:textId="19D236DB" w:rsidR="00F933E1" w:rsidRDefault="00F933E1" w:rsidP="00D95DBD">
            <w:pPr>
              <w:jc w:val="right"/>
              <w:rPr>
                <w:rFonts w:ascii="Calibri Light" w:hAnsi="Calibri Light" w:cs="Arial"/>
                <w:sz w:val="22"/>
                <w:szCs w:val="22"/>
              </w:rPr>
            </w:pPr>
            <w:r>
              <w:rPr>
                <w:rFonts w:ascii="Calibri Light" w:hAnsi="Calibri Light" w:cs="Arial"/>
                <w:sz w:val="22"/>
                <w:szCs w:val="22"/>
              </w:rPr>
              <w:t xml:space="preserve">        2,481,160 </w:t>
            </w:r>
          </w:p>
        </w:tc>
        <w:tc>
          <w:tcPr>
            <w:tcW w:w="180" w:type="dxa"/>
            <w:tcBorders>
              <w:top w:val="nil"/>
              <w:left w:val="nil"/>
              <w:bottom w:val="nil"/>
              <w:right w:val="nil"/>
            </w:tcBorders>
            <w:shd w:val="clear" w:color="auto" w:fill="auto"/>
            <w:noWrap/>
            <w:vAlign w:val="bottom"/>
            <w:hideMark/>
          </w:tcPr>
          <w:p w14:paraId="04D163A4" w14:textId="77777777" w:rsidR="00F933E1" w:rsidRDefault="00F933E1" w:rsidP="00D95DBD">
            <w:pPr>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6FE832F6" w14:textId="0111617C" w:rsidR="00F933E1" w:rsidRDefault="00F933E1" w:rsidP="00D95DBD">
            <w:pPr>
              <w:jc w:val="right"/>
              <w:rPr>
                <w:rFonts w:ascii="Calibri Light" w:hAnsi="Calibri Light" w:cs="Arial"/>
                <w:sz w:val="22"/>
                <w:szCs w:val="22"/>
              </w:rPr>
            </w:pPr>
            <w:r>
              <w:rPr>
                <w:rFonts w:ascii="Calibri Light" w:hAnsi="Calibri Light" w:cs="Arial"/>
                <w:sz w:val="22"/>
                <w:szCs w:val="22"/>
              </w:rPr>
              <w:t xml:space="preserve">          657,570 </w:t>
            </w:r>
          </w:p>
        </w:tc>
        <w:tc>
          <w:tcPr>
            <w:tcW w:w="180" w:type="dxa"/>
            <w:tcBorders>
              <w:top w:val="nil"/>
              <w:left w:val="nil"/>
              <w:bottom w:val="nil"/>
              <w:right w:val="nil"/>
            </w:tcBorders>
            <w:shd w:val="clear" w:color="auto" w:fill="auto"/>
            <w:noWrap/>
            <w:vAlign w:val="bottom"/>
            <w:hideMark/>
          </w:tcPr>
          <w:p w14:paraId="39F803E6" w14:textId="77777777" w:rsidR="00F933E1" w:rsidRDefault="00F933E1" w:rsidP="00D95DBD">
            <w:pPr>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7ABA6432" w14:textId="249595AC" w:rsidR="00F933E1" w:rsidRDefault="00F933E1" w:rsidP="00D95DBD">
            <w:pPr>
              <w:jc w:val="right"/>
              <w:rPr>
                <w:rFonts w:ascii="Calibri Light" w:hAnsi="Calibri Light" w:cs="Arial"/>
                <w:sz w:val="22"/>
                <w:szCs w:val="22"/>
              </w:rPr>
            </w:pPr>
            <w:r>
              <w:rPr>
                <w:rFonts w:ascii="Calibri Light" w:hAnsi="Calibri Light" w:cs="Arial"/>
                <w:sz w:val="22"/>
                <w:szCs w:val="22"/>
              </w:rPr>
              <w:t xml:space="preserve">        1,047,406 </w:t>
            </w:r>
          </w:p>
        </w:tc>
      </w:tr>
      <w:tr w:rsidR="00F933E1" w14:paraId="562E0CC9" w14:textId="77777777" w:rsidTr="00F933E1">
        <w:trPr>
          <w:trHeight w:val="120"/>
        </w:trPr>
        <w:tc>
          <w:tcPr>
            <w:tcW w:w="4920" w:type="dxa"/>
            <w:tcBorders>
              <w:top w:val="nil"/>
              <w:left w:val="nil"/>
              <w:bottom w:val="nil"/>
              <w:right w:val="nil"/>
            </w:tcBorders>
            <w:shd w:val="clear" w:color="auto" w:fill="auto"/>
            <w:noWrap/>
            <w:vAlign w:val="bottom"/>
            <w:hideMark/>
          </w:tcPr>
          <w:p w14:paraId="0E36EB73" w14:textId="77777777" w:rsidR="00F933E1" w:rsidRDefault="00F933E1">
            <w:pPr>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6BF361F5"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7301E345"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2A78C43B" w14:textId="77777777" w:rsidR="00F933E1" w:rsidRDefault="00F933E1" w:rsidP="00C23CEA">
            <w:pPr>
              <w:jc w:val="right"/>
              <w:rPr>
                <w:sz w:val="20"/>
                <w:szCs w:val="20"/>
              </w:rPr>
            </w:pPr>
          </w:p>
        </w:tc>
        <w:tc>
          <w:tcPr>
            <w:tcW w:w="1480" w:type="dxa"/>
            <w:tcBorders>
              <w:top w:val="nil"/>
              <w:left w:val="nil"/>
              <w:bottom w:val="nil"/>
              <w:right w:val="nil"/>
            </w:tcBorders>
            <w:shd w:val="clear" w:color="auto" w:fill="auto"/>
            <w:noWrap/>
            <w:vAlign w:val="bottom"/>
            <w:hideMark/>
          </w:tcPr>
          <w:p w14:paraId="760CD024"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6499E492" w14:textId="77777777" w:rsidR="00F933E1" w:rsidRDefault="00F933E1" w:rsidP="00C23CEA">
            <w:pPr>
              <w:jc w:val="right"/>
              <w:rPr>
                <w:sz w:val="20"/>
                <w:szCs w:val="20"/>
              </w:rPr>
            </w:pPr>
          </w:p>
        </w:tc>
        <w:tc>
          <w:tcPr>
            <w:tcW w:w="1540" w:type="dxa"/>
            <w:tcBorders>
              <w:top w:val="nil"/>
              <w:left w:val="nil"/>
              <w:bottom w:val="nil"/>
              <w:right w:val="nil"/>
            </w:tcBorders>
            <w:shd w:val="clear" w:color="auto" w:fill="auto"/>
            <w:noWrap/>
            <w:vAlign w:val="bottom"/>
            <w:hideMark/>
          </w:tcPr>
          <w:p w14:paraId="7EE299AA" w14:textId="77777777" w:rsidR="00F933E1" w:rsidRDefault="00F933E1" w:rsidP="00C23CEA">
            <w:pPr>
              <w:jc w:val="right"/>
              <w:rPr>
                <w:sz w:val="20"/>
                <w:szCs w:val="20"/>
              </w:rPr>
            </w:pPr>
          </w:p>
        </w:tc>
      </w:tr>
      <w:tr w:rsidR="00F933E1" w14:paraId="5564C615" w14:textId="77777777" w:rsidTr="00F933E1">
        <w:trPr>
          <w:trHeight w:val="300"/>
        </w:trPr>
        <w:tc>
          <w:tcPr>
            <w:tcW w:w="4920" w:type="dxa"/>
            <w:tcBorders>
              <w:top w:val="nil"/>
              <w:left w:val="nil"/>
              <w:bottom w:val="nil"/>
              <w:right w:val="nil"/>
            </w:tcBorders>
            <w:shd w:val="clear" w:color="auto" w:fill="auto"/>
            <w:vAlign w:val="bottom"/>
            <w:hideMark/>
          </w:tcPr>
          <w:p w14:paraId="3FAD68F1" w14:textId="77777777" w:rsidR="00F933E1" w:rsidRDefault="00F933E1">
            <w:pPr>
              <w:rPr>
                <w:rFonts w:ascii="Calibri Light" w:hAnsi="Calibri Light" w:cs="Arial"/>
                <w:b/>
                <w:bCs/>
                <w:sz w:val="22"/>
                <w:szCs w:val="22"/>
              </w:rPr>
            </w:pPr>
            <w:r>
              <w:rPr>
                <w:rFonts w:ascii="Calibri Light" w:hAnsi="Calibri Light" w:cs="Arial"/>
                <w:b/>
                <w:bCs/>
                <w:sz w:val="22"/>
                <w:szCs w:val="22"/>
              </w:rPr>
              <w:t>Net increase in cash and cash equivalents</w:t>
            </w:r>
          </w:p>
        </w:tc>
        <w:tc>
          <w:tcPr>
            <w:tcW w:w="180" w:type="dxa"/>
            <w:tcBorders>
              <w:top w:val="nil"/>
              <w:left w:val="nil"/>
              <w:bottom w:val="nil"/>
              <w:right w:val="nil"/>
            </w:tcBorders>
            <w:shd w:val="clear" w:color="auto" w:fill="auto"/>
            <w:noWrap/>
            <w:vAlign w:val="bottom"/>
            <w:hideMark/>
          </w:tcPr>
          <w:p w14:paraId="7A9FAAEE" w14:textId="77777777" w:rsidR="00F933E1" w:rsidRDefault="00F933E1">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5A6D744E" w14:textId="77777777" w:rsidR="00F933E1" w:rsidRDefault="00F933E1" w:rsidP="004D7C89">
            <w:pPr>
              <w:ind w:right="-57"/>
              <w:jc w:val="right"/>
              <w:rPr>
                <w:rFonts w:ascii="Calibri Light" w:hAnsi="Calibri Light" w:cs="Arial"/>
                <w:sz w:val="22"/>
                <w:szCs w:val="22"/>
              </w:rPr>
            </w:pPr>
            <w:r>
              <w:rPr>
                <w:rFonts w:ascii="Calibri Light" w:hAnsi="Calibri Light" w:cs="Arial"/>
                <w:color w:val="FF0000"/>
                <w:sz w:val="22"/>
                <w:szCs w:val="22"/>
              </w:rPr>
              <w:t>(38,432)</w:t>
            </w:r>
          </w:p>
        </w:tc>
        <w:tc>
          <w:tcPr>
            <w:tcW w:w="180" w:type="dxa"/>
            <w:tcBorders>
              <w:top w:val="nil"/>
              <w:left w:val="nil"/>
              <w:bottom w:val="nil"/>
              <w:right w:val="nil"/>
            </w:tcBorders>
            <w:shd w:val="clear" w:color="auto" w:fill="auto"/>
            <w:noWrap/>
            <w:vAlign w:val="bottom"/>
            <w:hideMark/>
          </w:tcPr>
          <w:p w14:paraId="3413BA50" w14:textId="77777777" w:rsidR="00F933E1" w:rsidRDefault="00F933E1" w:rsidP="00C23CEA">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73DF7111" w14:textId="0FD24F46"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237,973 </w:t>
            </w:r>
          </w:p>
        </w:tc>
        <w:tc>
          <w:tcPr>
            <w:tcW w:w="180" w:type="dxa"/>
            <w:tcBorders>
              <w:top w:val="nil"/>
              <w:left w:val="nil"/>
              <w:bottom w:val="nil"/>
              <w:right w:val="nil"/>
            </w:tcBorders>
            <w:shd w:val="clear" w:color="auto" w:fill="auto"/>
            <w:noWrap/>
            <w:vAlign w:val="bottom"/>
            <w:hideMark/>
          </w:tcPr>
          <w:p w14:paraId="5E01897E" w14:textId="77777777" w:rsidR="00F933E1" w:rsidRDefault="00F933E1" w:rsidP="00C23CEA">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C048B66" w14:textId="77777777" w:rsidR="00F933E1" w:rsidRDefault="00F933E1" w:rsidP="004D7C89">
            <w:pPr>
              <w:ind w:right="-57"/>
              <w:jc w:val="right"/>
              <w:rPr>
                <w:rFonts w:ascii="Calibri Light" w:hAnsi="Calibri Light" w:cs="Arial"/>
                <w:sz w:val="22"/>
                <w:szCs w:val="22"/>
              </w:rPr>
            </w:pPr>
            <w:r>
              <w:rPr>
                <w:rFonts w:ascii="Calibri Light" w:hAnsi="Calibri Light" w:cs="Arial"/>
                <w:color w:val="FF0000"/>
                <w:sz w:val="22"/>
                <w:szCs w:val="22"/>
              </w:rPr>
              <w:t>(558)</w:t>
            </w:r>
          </w:p>
        </w:tc>
      </w:tr>
      <w:tr w:rsidR="00F933E1" w14:paraId="22908F03" w14:textId="77777777" w:rsidTr="00F933E1">
        <w:trPr>
          <w:trHeight w:val="120"/>
        </w:trPr>
        <w:tc>
          <w:tcPr>
            <w:tcW w:w="4920" w:type="dxa"/>
            <w:tcBorders>
              <w:top w:val="nil"/>
              <w:left w:val="nil"/>
              <w:bottom w:val="nil"/>
              <w:right w:val="nil"/>
            </w:tcBorders>
            <w:shd w:val="clear" w:color="auto" w:fill="auto"/>
            <w:noWrap/>
            <w:vAlign w:val="bottom"/>
            <w:hideMark/>
          </w:tcPr>
          <w:p w14:paraId="1610018D" w14:textId="77777777" w:rsidR="00F933E1" w:rsidRDefault="00F933E1">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7F18439A"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60E672CA"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03CE955D" w14:textId="77777777" w:rsidR="00F933E1" w:rsidRDefault="00F933E1" w:rsidP="00C23CEA">
            <w:pPr>
              <w:jc w:val="right"/>
              <w:rPr>
                <w:sz w:val="20"/>
                <w:szCs w:val="20"/>
              </w:rPr>
            </w:pPr>
          </w:p>
        </w:tc>
        <w:tc>
          <w:tcPr>
            <w:tcW w:w="1480" w:type="dxa"/>
            <w:tcBorders>
              <w:top w:val="nil"/>
              <w:left w:val="nil"/>
              <w:bottom w:val="nil"/>
              <w:right w:val="nil"/>
            </w:tcBorders>
            <w:shd w:val="clear" w:color="auto" w:fill="auto"/>
            <w:noWrap/>
            <w:vAlign w:val="bottom"/>
            <w:hideMark/>
          </w:tcPr>
          <w:p w14:paraId="2744CC6E" w14:textId="77777777" w:rsidR="00F933E1" w:rsidRDefault="00F933E1" w:rsidP="00C23CEA">
            <w:pPr>
              <w:jc w:val="right"/>
              <w:rPr>
                <w:sz w:val="20"/>
                <w:szCs w:val="20"/>
              </w:rPr>
            </w:pPr>
          </w:p>
        </w:tc>
        <w:tc>
          <w:tcPr>
            <w:tcW w:w="180" w:type="dxa"/>
            <w:tcBorders>
              <w:top w:val="nil"/>
              <w:left w:val="nil"/>
              <w:bottom w:val="nil"/>
              <w:right w:val="nil"/>
            </w:tcBorders>
            <w:shd w:val="clear" w:color="auto" w:fill="auto"/>
            <w:noWrap/>
            <w:vAlign w:val="bottom"/>
            <w:hideMark/>
          </w:tcPr>
          <w:p w14:paraId="156361EB" w14:textId="77777777" w:rsidR="00F933E1" w:rsidRDefault="00F933E1" w:rsidP="00C23CEA">
            <w:pPr>
              <w:jc w:val="right"/>
              <w:rPr>
                <w:sz w:val="20"/>
                <w:szCs w:val="20"/>
              </w:rPr>
            </w:pPr>
          </w:p>
        </w:tc>
        <w:tc>
          <w:tcPr>
            <w:tcW w:w="1540" w:type="dxa"/>
            <w:tcBorders>
              <w:top w:val="nil"/>
              <w:left w:val="nil"/>
              <w:bottom w:val="nil"/>
              <w:right w:val="nil"/>
            </w:tcBorders>
            <w:shd w:val="clear" w:color="auto" w:fill="auto"/>
            <w:noWrap/>
            <w:vAlign w:val="bottom"/>
            <w:hideMark/>
          </w:tcPr>
          <w:p w14:paraId="20B03290" w14:textId="77777777" w:rsidR="00F933E1" w:rsidRDefault="00F933E1" w:rsidP="00C23CEA">
            <w:pPr>
              <w:jc w:val="right"/>
              <w:rPr>
                <w:sz w:val="20"/>
                <w:szCs w:val="20"/>
              </w:rPr>
            </w:pPr>
          </w:p>
        </w:tc>
      </w:tr>
      <w:tr w:rsidR="00F933E1" w14:paraId="3AE6885B" w14:textId="77777777" w:rsidTr="00F933E1">
        <w:trPr>
          <w:trHeight w:val="300"/>
        </w:trPr>
        <w:tc>
          <w:tcPr>
            <w:tcW w:w="4920" w:type="dxa"/>
            <w:tcBorders>
              <w:top w:val="nil"/>
              <w:left w:val="nil"/>
              <w:bottom w:val="nil"/>
              <w:right w:val="nil"/>
            </w:tcBorders>
            <w:shd w:val="clear" w:color="auto" w:fill="auto"/>
            <w:noWrap/>
            <w:vAlign w:val="bottom"/>
            <w:hideMark/>
          </w:tcPr>
          <w:p w14:paraId="1ECB319F" w14:textId="77777777" w:rsidR="00F933E1" w:rsidRDefault="00F933E1">
            <w:pPr>
              <w:rPr>
                <w:rFonts w:ascii="Calibri Light" w:hAnsi="Calibri Light" w:cs="Arial"/>
                <w:sz w:val="22"/>
                <w:szCs w:val="22"/>
              </w:rPr>
            </w:pPr>
            <w:r>
              <w:rPr>
                <w:rFonts w:ascii="Calibri Light" w:hAnsi="Calibri Light" w:cs="Arial"/>
                <w:sz w:val="22"/>
                <w:szCs w:val="22"/>
              </w:rPr>
              <w:t>Cash and cash equivalents at start of period</w:t>
            </w:r>
          </w:p>
        </w:tc>
        <w:tc>
          <w:tcPr>
            <w:tcW w:w="180" w:type="dxa"/>
            <w:tcBorders>
              <w:top w:val="nil"/>
              <w:left w:val="nil"/>
              <w:bottom w:val="nil"/>
              <w:right w:val="nil"/>
            </w:tcBorders>
            <w:shd w:val="clear" w:color="auto" w:fill="auto"/>
            <w:noWrap/>
            <w:vAlign w:val="bottom"/>
            <w:hideMark/>
          </w:tcPr>
          <w:p w14:paraId="743B57D5" w14:textId="77777777" w:rsidR="00F933E1" w:rsidRDefault="00F933E1">
            <w:pPr>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23A573A0" w14:textId="07797293"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220,060 </w:t>
            </w:r>
          </w:p>
        </w:tc>
        <w:tc>
          <w:tcPr>
            <w:tcW w:w="180" w:type="dxa"/>
            <w:tcBorders>
              <w:top w:val="nil"/>
              <w:left w:val="nil"/>
              <w:bottom w:val="nil"/>
              <w:right w:val="nil"/>
            </w:tcBorders>
            <w:shd w:val="clear" w:color="auto" w:fill="auto"/>
            <w:noWrap/>
            <w:vAlign w:val="bottom"/>
            <w:hideMark/>
          </w:tcPr>
          <w:p w14:paraId="1D5194AC" w14:textId="77777777" w:rsidR="00F933E1" w:rsidRDefault="00F933E1" w:rsidP="004D7C89">
            <w:pPr>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5DC15244" w14:textId="3459D87F"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220,618 </w:t>
            </w:r>
          </w:p>
        </w:tc>
        <w:tc>
          <w:tcPr>
            <w:tcW w:w="180" w:type="dxa"/>
            <w:tcBorders>
              <w:top w:val="nil"/>
              <w:left w:val="nil"/>
              <w:bottom w:val="nil"/>
              <w:right w:val="nil"/>
            </w:tcBorders>
            <w:shd w:val="clear" w:color="auto" w:fill="auto"/>
            <w:noWrap/>
            <w:vAlign w:val="bottom"/>
            <w:hideMark/>
          </w:tcPr>
          <w:p w14:paraId="5C7DD4FE" w14:textId="77777777" w:rsidR="00F933E1" w:rsidRDefault="00F933E1" w:rsidP="004D7C89">
            <w:pPr>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6260E964" w14:textId="47A5A3B3"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220,618 </w:t>
            </w:r>
          </w:p>
        </w:tc>
      </w:tr>
      <w:tr w:rsidR="00F933E1" w14:paraId="37BB7EE3" w14:textId="77777777" w:rsidTr="00F933E1">
        <w:trPr>
          <w:trHeight w:val="120"/>
        </w:trPr>
        <w:tc>
          <w:tcPr>
            <w:tcW w:w="4920" w:type="dxa"/>
            <w:tcBorders>
              <w:top w:val="nil"/>
              <w:left w:val="nil"/>
              <w:bottom w:val="nil"/>
              <w:right w:val="nil"/>
            </w:tcBorders>
            <w:shd w:val="clear" w:color="auto" w:fill="auto"/>
            <w:noWrap/>
            <w:vAlign w:val="bottom"/>
            <w:hideMark/>
          </w:tcPr>
          <w:p w14:paraId="3909DB88" w14:textId="77777777" w:rsidR="00F933E1" w:rsidRDefault="00F933E1">
            <w:pPr>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4A37CD64" w14:textId="77777777" w:rsidR="00F933E1" w:rsidRDefault="00F933E1">
            <w:pPr>
              <w:rPr>
                <w:sz w:val="20"/>
                <w:szCs w:val="20"/>
              </w:rPr>
            </w:pPr>
          </w:p>
        </w:tc>
        <w:tc>
          <w:tcPr>
            <w:tcW w:w="1540" w:type="dxa"/>
            <w:tcBorders>
              <w:top w:val="nil"/>
              <w:left w:val="nil"/>
              <w:bottom w:val="nil"/>
              <w:right w:val="nil"/>
            </w:tcBorders>
            <w:shd w:val="clear" w:color="auto" w:fill="auto"/>
            <w:noWrap/>
            <w:vAlign w:val="bottom"/>
            <w:hideMark/>
          </w:tcPr>
          <w:p w14:paraId="59CF5F20" w14:textId="77777777" w:rsidR="00F933E1" w:rsidRDefault="00F933E1" w:rsidP="004D7C89">
            <w:pPr>
              <w:jc w:val="right"/>
              <w:rPr>
                <w:sz w:val="20"/>
                <w:szCs w:val="20"/>
              </w:rPr>
            </w:pPr>
          </w:p>
        </w:tc>
        <w:tc>
          <w:tcPr>
            <w:tcW w:w="180" w:type="dxa"/>
            <w:tcBorders>
              <w:top w:val="nil"/>
              <w:left w:val="nil"/>
              <w:bottom w:val="nil"/>
              <w:right w:val="nil"/>
            </w:tcBorders>
            <w:shd w:val="clear" w:color="auto" w:fill="auto"/>
            <w:noWrap/>
            <w:vAlign w:val="bottom"/>
            <w:hideMark/>
          </w:tcPr>
          <w:p w14:paraId="03813AC0" w14:textId="77777777" w:rsidR="00F933E1" w:rsidRDefault="00F933E1" w:rsidP="004D7C89">
            <w:pPr>
              <w:jc w:val="right"/>
              <w:rPr>
                <w:sz w:val="20"/>
                <w:szCs w:val="20"/>
              </w:rPr>
            </w:pPr>
          </w:p>
        </w:tc>
        <w:tc>
          <w:tcPr>
            <w:tcW w:w="1480" w:type="dxa"/>
            <w:tcBorders>
              <w:top w:val="nil"/>
              <w:left w:val="nil"/>
              <w:bottom w:val="nil"/>
              <w:right w:val="nil"/>
            </w:tcBorders>
            <w:shd w:val="clear" w:color="auto" w:fill="auto"/>
            <w:noWrap/>
            <w:vAlign w:val="bottom"/>
            <w:hideMark/>
          </w:tcPr>
          <w:p w14:paraId="0FB78F5A" w14:textId="77777777" w:rsidR="00F933E1" w:rsidRDefault="00F933E1" w:rsidP="004D7C89">
            <w:pPr>
              <w:jc w:val="right"/>
              <w:rPr>
                <w:sz w:val="20"/>
                <w:szCs w:val="20"/>
              </w:rPr>
            </w:pPr>
          </w:p>
        </w:tc>
        <w:tc>
          <w:tcPr>
            <w:tcW w:w="180" w:type="dxa"/>
            <w:tcBorders>
              <w:top w:val="nil"/>
              <w:left w:val="nil"/>
              <w:bottom w:val="nil"/>
              <w:right w:val="nil"/>
            </w:tcBorders>
            <w:shd w:val="clear" w:color="auto" w:fill="auto"/>
            <w:noWrap/>
            <w:vAlign w:val="bottom"/>
            <w:hideMark/>
          </w:tcPr>
          <w:p w14:paraId="10031AA2" w14:textId="77777777" w:rsidR="00F933E1" w:rsidRDefault="00F933E1" w:rsidP="004D7C89">
            <w:pPr>
              <w:jc w:val="right"/>
              <w:rPr>
                <w:sz w:val="20"/>
                <w:szCs w:val="20"/>
              </w:rPr>
            </w:pPr>
          </w:p>
        </w:tc>
        <w:tc>
          <w:tcPr>
            <w:tcW w:w="1540" w:type="dxa"/>
            <w:tcBorders>
              <w:top w:val="nil"/>
              <w:left w:val="nil"/>
              <w:bottom w:val="nil"/>
              <w:right w:val="nil"/>
            </w:tcBorders>
            <w:shd w:val="clear" w:color="auto" w:fill="auto"/>
            <w:noWrap/>
            <w:vAlign w:val="bottom"/>
            <w:hideMark/>
          </w:tcPr>
          <w:p w14:paraId="62216F66" w14:textId="77777777" w:rsidR="00F933E1" w:rsidRDefault="00F933E1" w:rsidP="004D7C89">
            <w:pPr>
              <w:jc w:val="right"/>
              <w:rPr>
                <w:sz w:val="20"/>
                <w:szCs w:val="20"/>
              </w:rPr>
            </w:pPr>
          </w:p>
        </w:tc>
      </w:tr>
      <w:tr w:rsidR="00F933E1" w14:paraId="4991D92F" w14:textId="77777777" w:rsidTr="00F933E1">
        <w:trPr>
          <w:trHeight w:val="315"/>
        </w:trPr>
        <w:tc>
          <w:tcPr>
            <w:tcW w:w="4920" w:type="dxa"/>
            <w:tcBorders>
              <w:top w:val="nil"/>
              <w:left w:val="nil"/>
              <w:bottom w:val="nil"/>
              <w:right w:val="nil"/>
            </w:tcBorders>
            <w:shd w:val="clear" w:color="auto" w:fill="auto"/>
            <w:noWrap/>
            <w:vAlign w:val="bottom"/>
            <w:hideMark/>
          </w:tcPr>
          <w:p w14:paraId="2EFF9458" w14:textId="77777777" w:rsidR="00F933E1" w:rsidRDefault="00F933E1">
            <w:pPr>
              <w:rPr>
                <w:rFonts w:ascii="Calibri Light" w:hAnsi="Calibri Light" w:cs="Arial"/>
                <w:b/>
                <w:bCs/>
                <w:sz w:val="22"/>
                <w:szCs w:val="22"/>
              </w:rPr>
            </w:pPr>
            <w:r>
              <w:rPr>
                <w:rFonts w:ascii="Calibri Light" w:hAnsi="Calibri Light" w:cs="Arial"/>
                <w:b/>
                <w:bCs/>
                <w:sz w:val="22"/>
                <w:szCs w:val="22"/>
              </w:rPr>
              <w:t>Cash and cash equivalents at end of period</w:t>
            </w:r>
          </w:p>
        </w:tc>
        <w:tc>
          <w:tcPr>
            <w:tcW w:w="180" w:type="dxa"/>
            <w:tcBorders>
              <w:top w:val="nil"/>
              <w:left w:val="nil"/>
              <w:bottom w:val="nil"/>
              <w:right w:val="nil"/>
            </w:tcBorders>
            <w:shd w:val="clear" w:color="auto" w:fill="auto"/>
            <w:noWrap/>
            <w:vAlign w:val="bottom"/>
            <w:hideMark/>
          </w:tcPr>
          <w:p w14:paraId="1DEAD18E" w14:textId="77777777" w:rsidR="00F933E1" w:rsidRDefault="00F933E1">
            <w:pPr>
              <w:rPr>
                <w:rFonts w:ascii="Calibri Light" w:hAnsi="Calibri Light" w:cs="Arial"/>
                <w:b/>
                <w:bCs/>
                <w:sz w:val="22"/>
                <w:szCs w:val="22"/>
              </w:rPr>
            </w:pPr>
          </w:p>
        </w:tc>
        <w:tc>
          <w:tcPr>
            <w:tcW w:w="1540" w:type="dxa"/>
            <w:tcBorders>
              <w:top w:val="nil"/>
              <w:left w:val="nil"/>
              <w:bottom w:val="double" w:sz="6" w:space="0" w:color="auto"/>
              <w:right w:val="nil"/>
            </w:tcBorders>
            <w:shd w:val="clear" w:color="auto" w:fill="auto"/>
            <w:noWrap/>
            <w:vAlign w:val="bottom"/>
            <w:hideMark/>
          </w:tcPr>
          <w:p w14:paraId="54760967" w14:textId="045E037F"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181,628 </w:t>
            </w:r>
          </w:p>
        </w:tc>
        <w:tc>
          <w:tcPr>
            <w:tcW w:w="180" w:type="dxa"/>
            <w:tcBorders>
              <w:top w:val="nil"/>
              <w:left w:val="nil"/>
              <w:bottom w:val="nil"/>
              <w:right w:val="nil"/>
            </w:tcBorders>
            <w:shd w:val="clear" w:color="auto" w:fill="auto"/>
            <w:noWrap/>
            <w:vAlign w:val="bottom"/>
            <w:hideMark/>
          </w:tcPr>
          <w:p w14:paraId="4F53A5EF" w14:textId="77777777" w:rsidR="00F933E1" w:rsidRDefault="00F933E1" w:rsidP="004D7C89">
            <w:pPr>
              <w:jc w:val="right"/>
              <w:rPr>
                <w:rFonts w:ascii="Calibri Light" w:hAnsi="Calibri Light" w:cs="Arial"/>
                <w:sz w:val="22"/>
                <w:szCs w:val="22"/>
              </w:rPr>
            </w:pPr>
          </w:p>
        </w:tc>
        <w:tc>
          <w:tcPr>
            <w:tcW w:w="1480" w:type="dxa"/>
            <w:tcBorders>
              <w:top w:val="nil"/>
              <w:left w:val="nil"/>
              <w:bottom w:val="double" w:sz="6" w:space="0" w:color="auto"/>
              <w:right w:val="nil"/>
            </w:tcBorders>
            <w:shd w:val="clear" w:color="auto" w:fill="auto"/>
            <w:noWrap/>
            <w:vAlign w:val="bottom"/>
            <w:hideMark/>
          </w:tcPr>
          <w:p w14:paraId="5711A2C8" w14:textId="3D71EE59"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458,591 </w:t>
            </w:r>
          </w:p>
        </w:tc>
        <w:tc>
          <w:tcPr>
            <w:tcW w:w="180" w:type="dxa"/>
            <w:tcBorders>
              <w:top w:val="nil"/>
              <w:left w:val="nil"/>
              <w:bottom w:val="nil"/>
              <w:right w:val="nil"/>
            </w:tcBorders>
            <w:shd w:val="clear" w:color="auto" w:fill="auto"/>
            <w:noWrap/>
            <w:vAlign w:val="bottom"/>
            <w:hideMark/>
          </w:tcPr>
          <w:p w14:paraId="5A9EAE24" w14:textId="77777777" w:rsidR="00F933E1" w:rsidRDefault="00F933E1" w:rsidP="004D7C89">
            <w:pPr>
              <w:jc w:val="right"/>
              <w:rPr>
                <w:rFonts w:ascii="Calibri Light" w:hAnsi="Calibri Light" w:cs="Arial"/>
                <w:sz w:val="22"/>
                <w:szCs w:val="22"/>
              </w:rPr>
            </w:pPr>
          </w:p>
        </w:tc>
        <w:tc>
          <w:tcPr>
            <w:tcW w:w="1540" w:type="dxa"/>
            <w:tcBorders>
              <w:top w:val="nil"/>
              <w:left w:val="nil"/>
              <w:bottom w:val="double" w:sz="6" w:space="0" w:color="auto"/>
              <w:right w:val="nil"/>
            </w:tcBorders>
            <w:shd w:val="clear" w:color="auto" w:fill="auto"/>
            <w:noWrap/>
            <w:vAlign w:val="bottom"/>
            <w:hideMark/>
          </w:tcPr>
          <w:p w14:paraId="148B92F7" w14:textId="41E6CE6B" w:rsidR="00F933E1" w:rsidRDefault="00F933E1" w:rsidP="004D7C89">
            <w:pPr>
              <w:jc w:val="right"/>
              <w:rPr>
                <w:rFonts w:ascii="Calibri Light" w:hAnsi="Calibri Light" w:cs="Arial"/>
                <w:sz w:val="22"/>
                <w:szCs w:val="22"/>
              </w:rPr>
            </w:pPr>
            <w:r>
              <w:rPr>
                <w:rFonts w:ascii="Calibri Light" w:hAnsi="Calibri Light" w:cs="Arial"/>
                <w:sz w:val="22"/>
                <w:szCs w:val="22"/>
              </w:rPr>
              <w:t xml:space="preserve">            220,060 </w:t>
            </w:r>
          </w:p>
        </w:tc>
      </w:tr>
    </w:tbl>
    <w:p w14:paraId="2F9797D7" w14:textId="77777777" w:rsidR="00F933E1" w:rsidRPr="006645AF" w:rsidRDefault="00F933E1" w:rsidP="00C91959">
      <w:pPr>
        <w:rPr>
          <w:rFonts w:ascii="Calibri Light" w:hAnsi="Calibri Light" w:cs="Calibri Light"/>
          <w:b/>
          <w:sz w:val="22"/>
          <w:szCs w:val="22"/>
        </w:rPr>
      </w:pPr>
    </w:p>
    <w:p w14:paraId="6440045B" w14:textId="77777777" w:rsidR="00194E1A" w:rsidRPr="006645AF" w:rsidRDefault="00194E1A">
      <w:pPr>
        <w:rPr>
          <w:rFonts w:ascii="Calibri Light" w:hAnsi="Calibri Light" w:cs="Calibri Light"/>
          <w:sz w:val="22"/>
          <w:szCs w:val="22"/>
        </w:rPr>
      </w:pPr>
    </w:p>
    <w:p w14:paraId="64400564" w14:textId="77777777" w:rsidR="00194E1A" w:rsidRPr="006645AF" w:rsidRDefault="00194E1A">
      <w:pPr>
        <w:rPr>
          <w:rFonts w:ascii="Calibri Light" w:hAnsi="Calibri Light" w:cs="Arial"/>
          <w:sz w:val="22"/>
          <w:szCs w:val="22"/>
        </w:rPr>
      </w:pPr>
      <w:r w:rsidRPr="006645AF">
        <w:rPr>
          <w:rFonts w:ascii="Calibri Light" w:hAnsi="Calibri Light" w:cs="Arial"/>
          <w:sz w:val="22"/>
          <w:szCs w:val="22"/>
        </w:rPr>
        <w:br w:type="page"/>
      </w:r>
    </w:p>
    <w:p w14:paraId="64400565" w14:textId="77777777" w:rsidR="00C91959" w:rsidRPr="006645AF" w:rsidRDefault="00C91959">
      <w:pPr>
        <w:rPr>
          <w:rFonts w:ascii="Calibri Light" w:hAnsi="Calibri Light" w:cs="Arial"/>
          <w:sz w:val="22"/>
          <w:szCs w:val="22"/>
        </w:rPr>
      </w:pPr>
    </w:p>
    <w:p w14:paraId="64400566" w14:textId="77777777" w:rsidR="00AC056F" w:rsidRPr="006645AF" w:rsidRDefault="00AC056F">
      <w:pPr>
        <w:rPr>
          <w:rFonts w:ascii="Calibri Light" w:hAnsi="Calibri Light" w:cs="Arial"/>
          <w:sz w:val="22"/>
          <w:szCs w:val="22"/>
        </w:rPr>
      </w:pPr>
    </w:p>
    <w:p w14:paraId="64400567" w14:textId="510CDF1D" w:rsidR="004F357C" w:rsidRPr="006645AF" w:rsidRDefault="004F357C">
      <w:pPr>
        <w:rPr>
          <w:rFonts w:ascii="Calibri Light" w:hAnsi="Calibri Light" w:cs="Calibri Light"/>
          <w:b/>
          <w:sz w:val="22"/>
          <w:szCs w:val="22"/>
        </w:rPr>
      </w:pPr>
      <w:r w:rsidRPr="006645AF">
        <w:rPr>
          <w:rFonts w:ascii="Calibri Light" w:hAnsi="Calibri Light" w:cs="Calibri Light"/>
          <w:b/>
          <w:sz w:val="22"/>
          <w:szCs w:val="22"/>
        </w:rPr>
        <w:t>Notes to the interim financial statements</w:t>
      </w:r>
    </w:p>
    <w:p w14:paraId="64400568" w14:textId="77777777" w:rsidR="004F357C" w:rsidRPr="006645AF" w:rsidRDefault="004F357C">
      <w:pPr>
        <w:rPr>
          <w:rFonts w:ascii="Calibri Light" w:hAnsi="Calibri Light" w:cs="Calibri Light"/>
          <w:b/>
          <w:sz w:val="22"/>
          <w:szCs w:val="22"/>
        </w:rPr>
      </w:pPr>
    </w:p>
    <w:p w14:paraId="64400569" w14:textId="77777777" w:rsidR="004F357C" w:rsidRPr="006645AF" w:rsidRDefault="004F357C" w:rsidP="00E80EBC">
      <w:pPr>
        <w:numPr>
          <w:ilvl w:val="0"/>
          <w:numId w:val="1"/>
        </w:numPr>
        <w:tabs>
          <w:tab w:val="num" w:pos="-4500"/>
        </w:tabs>
        <w:spacing w:after="120"/>
        <w:rPr>
          <w:rFonts w:ascii="Calibri Light" w:hAnsi="Calibri Light" w:cs="Calibri Light"/>
          <w:b/>
          <w:sz w:val="22"/>
          <w:szCs w:val="22"/>
        </w:rPr>
      </w:pPr>
      <w:r w:rsidRPr="006645AF">
        <w:rPr>
          <w:rFonts w:ascii="Calibri Light" w:hAnsi="Calibri Light" w:cs="Calibri Light"/>
          <w:b/>
          <w:sz w:val="22"/>
          <w:szCs w:val="22"/>
        </w:rPr>
        <w:t>General information</w:t>
      </w:r>
    </w:p>
    <w:p w14:paraId="6440056A" w14:textId="6BD79346" w:rsidR="00952015" w:rsidRPr="006645AF" w:rsidRDefault="000C4F19" w:rsidP="00E80EBC">
      <w:pPr>
        <w:pStyle w:val="NormalWeb"/>
        <w:spacing w:before="0" w:beforeAutospacing="0" w:after="120" w:afterAutospacing="0"/>
        <w:jc w:val="both"/>
        <w:rPr>
          <w:rFonts w:ascii="Calibri Light" w:hAnsi="Calibri Light" w:cs="Calibri Light"/>
          <w:sz w:val="22"/>
          <w:szCs w:val="22"/>
        </w:rPr>
      </w:pPr>
      <w:r w:rsidRPr="006645AF">
        <w:rPr>
          <w:rFonts w:ascii="Calibri Light" w:hAnsi="Calibri Light" w:cs="Calibri Light"/>
          <w:sz w:val="22"/>
          <w:szCs w:val="22"/>
        </w:rPr>
        <w:t xml:space="preserve">Prospex </w:t>
      </w:r>
      <w:r w:rsidR="00E205DD" w:rsidRPr="006645AF">
        <w:rPr>
          <w:rFonts w:ascii="Calibri Light" w:hAnsi="Calibri Light" w:cs="Calibri Light"/>
          <w:sz w:val="22"/>
          <w:szCs w:val="22"/>
        </w:rPr>
        <w:t>Energy</w:t>
      </w:r>
      <w:r w:rsidRPr="006645AF">
        <w:rPr>
          <w:rFonts w:ascii="Calibri Light" w:hAnsi="Calibri Light" w:cs="Calibri Light"/>
          <w:sz w:val="22"/>
          <w:szCs w:val="22"/>
        </w:rPr>
        <w:t xml:space="preserve"> Plc</w:t>
      </w:r>
      <w:r w:rsidR="004F357C" w:rsidRPr="006645AF">
        <w:rPr>
          <w:rFonts w:ascii="Calibri Light" w:hAnsi="Calibri Light" w:cs="Calibri Light"/>
          <w:sz w:val="22"/>
          <w:szCs w:val="22"/>
        </w:rPr>
        <w:t xml:space="preserve"> is a company incorporated in the United Kingdom, which is listed on the A</w:t>
      </w:r>
      <w:r w:rsidR="001B64C8" w:rsidRPr="006645AF">
        <w:rPr>
          <w:rFonts w:ascii="Calibri Light" w:hAnsi="Calibri Light" w:cs="Calibri Light"/>
          <w:sz w:val="22"/>
          <w:szCs w:val="22"/>
        </w:rPr>
        <w:t xml:space="preserve">lternative Investment </w:t>
      </w:r>
      <w:r w:rsidR="004F357C" w:rsidRPr="006645AF">
        <w:rPr>
          <w:rFonts w:ascii="Calibri Light" w:hAnsi="Calibri Light" w:cs="Calibri Light"/>
          <w:sz w:val="22"/>
          <w:szCs w:val="22"/>
        </w:rPr>
        <w:t xml:space="preserve">Market of the London Stock Exchange </w:t>
      </w:r>
      <w:r w:rsidR="0006164F" w:rsidRPr="006645AF">
        <w:rPr>
          <w:rFonts w:ascii="Calibri Light" w:hAnsi="Calibri Light" w:cs="Calibri Light"/>
          <w:sz w:val="22"/>
          <w:szCs w:val="22"/>
        </w:rPr>
        <w:t xml:space="preserve">Plc.  </w:t>
      </w:r>
      <w:r w:rsidR="004F357C" w:rsidRPr="006645AF">
        <w:rPr>
          <w:rFonts w:ascii="Calibri Light" w:hAnsi="Calibri Light" w:cs="Calibri Light"/>
          <w:sz w:val="22"/>
          <w:szCs w:val="22"/>
        </w:rPr>
        <w:t xml:space="preserve">The address of its registered office is </w:t>
      </w:r>
      <w:r w:rsidR="001965B4">
        <w:rPr>
          <w:rFonts w:ascii="Calibri Light" w:hAnsi="Calibri Light" w:cs="Calibri Light"/>
          <w:sz w:val="22"/>
          <w:szCs w:val="22"/>
        </w:rPr>
        <w:t>60 Gracechurch Street, London EC3V 0</w:t>
      </w:r>
      <w:r w:rsidR="0006164F">
        <w:rPr>
          <w:rFonts w:ascii="Calibri Light" w:hAnsi="Calibri Light" w:cs="Calibri Light"/>
          <w:sz w:val="22"/>
          <w:szCs w:val="22"/>
        </w:rPr>
        <w:t>HR</w:t>
      </w:r>
      <w:r w:rsidR="0006164F" w:rsidRPr="006645AF">
        <w:rPr>
          <w:rFonts w:ascii="Calibri Light" w:hAnsi="Calibri Light" w:cs="Calibri Light"/>
          <w:sz w:val="22"/>
          <w:szCs w:val="22"/>
        </w:rPr>
        <w:t xml:space="preserve">.  </w:t>
      </w:r>
      <w:r w:rsidR="00442776" w:rsidRPr="006645AF">
        <w:rPr>
          <w:rFonts w:ascii="Calibri Light" w:hAnsi="Calibri Light" w:cs="Calibri Light"/>
          <w:sz w:val="22"/>
          <w:szCs w:val="22"/>
        </w:rPr>
        <w:t xml:space="preserve">The Group is primarily involved in the </w:t>
      </w:r>
      <w:r w:rsidR="0006164F">
        <w:rPr>
          <w:rFonts w:ascii="Calibri Light" w:hAnsi="Calibri Light" w:cs="Calibri Light"/>
          <w:sz w:val="22"/>
          <w:szCs w:val="22"/>
        </w:rPr>
        <w:t xml:space="preserve">development, </w:t>
      </w:r>
      <w:r w:rsidR="00442776" w:rsidRPr="006645AF">
        <w:rPr>
          <w:rFonts w:ascii="Calibri Light" w:hAnsi="Calibri Light" w:cs="Calibri Light"/>
          <w:sz w:val="22"/>
          <w:szCs w:val="22"/>
        </w:rPr>
        <w:t xml:space="preserve">exploration </w:t>
      </w:r>
      <w:r w:rsidR="00205FBB" w:rsidRPr="006645AF">
        <w:rPr>
          <w:rFonts w:ascii="Calibri Light" w:hAnsi="Calibri Light" w:cs="Calibri Light"/>
          <w:sz w:val="22"/>
          <w:szCs w:val="22"/>
        </w:rPr>
        <w:t>and the production of natural gas</w:t>
      </w:r>
      <w:r w:rsidR="0006164F">
        <w:rPr>
          <w:rFonts w:ascii="Calibri Light" w:hAnsi="Calibri Light" w:cs="Calibri Light"/>
          <w:sz w:val="22"/>
          <w:szCs w:val="22"/>
        </w:rPr>
        <w:t xml:space="preserve"> and the generation of electricity</w:t>
      </w:r>
      <w:r w:rsidR="00205FBB" w:rsidRPr="006645AF">
        <w:rPr>
          <w:rFonts w:ascii="Calibri Light" w:hAnsi="Calibri Light" w:cs="Calibri Light"/>
          <w:sz w:val="22"/>
          <w:szCs w:val="22"/>
        </w:rPr>
        <w:t>.</w:t>
      </w:r>
    </w:p>
    <w:p w14:paraId="6440056B" w14:textId="77777777" w:rsidR="004F357C" w:rsidRPr="006645AF" w:rsidRDefault="004F357C" w:rsidP="004F357C">
      <w:pPr>
        <w:numPr>
          <w:ilvl w:val="0"/>
          <w:numId w:val="1"/>
        </w:numPr>
        <w:rPr>
          <w:rFonts w:ascii="Calibri Light" w:hAnsi="Calibri Light" w:cs="Calibri Light"/>
          <w:b/>
          <w:sz w:val="22"/>
          <w:szCs w:val="22"/>
        </w:rPr>
      </w:pPr>
      <w:r w:rsidRPr="006645AF">
        <w:rPr>
          <w:rFonts w:ascii="Calibri Light" w:hAnsi="Calibri Light" w:cs="Calibri Light"/>
          <w:b/>
          <w:sz w:val="22"/>
          <w:szCs w:val="22"/>
        </w:rPr>
        <w:t>F</w:t>
      </w:r>
      <w:r w:rsidR="00FB35E5" w:rsidRPr="006645AF">
        <w:rPr>
          <w:rFonts w:ascii="Calibri Light" w:hAnsi="Calibri Light" w:cs="Calibri Light"/>
          <w:b/>
          <w:sz w:val="22"/>
          <w:szCs w:val="22"/>
        </w:rPr>
        <w:t>inancial information</w:t>
      </w:r>
    </w:p>
    <w:p w14:paraId="6440056C" w14:textId="2E7EDE67" w:rsidR="00885507" w:rsidRPr="006645AF" w:rsidRDefault="00885507" w:rsidP="00E80EBC">
      <w:pPr>
        <w:pStyle w:val="c11"/>
        <w:spacing w:before="0" w:beforeAutospacing="0" w:after="120" w:afterAutospacing="0"/>
        <w:jc w:val="both"/>
        <w:rPr>
          <w:rFonts w:ascii="Calibri Light" w:hAnsi="Calibri Light" w:cs="Calibri Light"/>
          <w:sz w:val="22"/>
          <w:szCs w:val="22"/>
        </w:rPr>
      </w:pPr>
      <w:r w:rsidRPr="006645AF">
        <w:rPr>
          <w:rStyle w:val="c135"/>
          <w:rFonts w:ascii="Calibri Light" w:hAnsi="Calibri Light" w:cs="Calibri Light"/>
          <w:sz w:val="22"/>
          <w:szCs w:val="22"/>
        </w:rPr>
        <w:t>The interim financial information for the six months ended 3</w:t>
      </w:r>
      <w:r w:rsidR="006F69C4" w:rsidRPr="006645AF">
        <w:rPr>
          <w:rStyle w:val="c135"/>
          <w:rFonts w:ascii="Calibri Light" w:hAnsi="Calibri Light" w:cs="Calibri Light"/>
          <w:sz w:val="22"/>
          <w:szCs w:val="22"/>
        </w:rPr>
        <w:t>0</w:t>
      </w:r>
      <w:r w:rsidRPr="006645AF">
        <w:rPr>
          <w:rStyle w:val="c135"/>
          <w:rFonts w:ascii="Calibri Light" w:hAnsi="Calibri Light" w:cs="Calibri Light"/>
          <w:sz w:val="22"/>
          <w:szCs w:val="22"/>
        </w:rPr>
        <w:t xml:space="preserve"> Ju</w:t>
      </w:r>
      <w:r w:rsidR="006F69C4" w:rsidRPr="006645AF">
        <w:rPr>
          <w:rStyle w:val="c135"/>
          <w:rFonts w:ascii="Calibri Light" w:hAnsi="Calibri Light" w:cs="Calibri Light"/>
          <w:sz w:val="22"/>
          <w:szCs w:val="22"/>
        </w:rPr>
        <w:t>ne</w:t>
      </w:r>
      <w:r w:rsidRPr="006645AF">
        <w:rPr>
          <w:rStyle w:val="c135"/>
          <w:rFonts w:ascii="Calibri Light" w:hAnsi="Calibri Light" w:cs="Calibri Light"/>
          <w:sz w:val="22"/>
          <w:szCs w:val="22"/>
        </w:rPr>
        <w:t xml:space="preserve"> 20</w:t>
      </w:r>
      <w:r w:rsidR="008F57B0" w:rsidRPr="006645AF">
        <w:rPr>
          <w:rStyle w:val="c135"/>
          <w:rFonts w:ascii="Calibri Light" w:hAnsi="Calibri Light" w:cs="Calibri Light"/>
          <w:sz w:val="22"/>
          <w:szCs w:val="22"/>
        </w:rPr>
        <w:t>2</w:t>
      </w:r>
      <w:r w:rsidR="001965B4">
        <w:rPr>
          <w:rStyle w:val="c135"/>
          <w:rFonts w:ascii="Calibri Light" w:hAnsi="Calibri Light" w:cs="Calibri Light"/>
          <w:sz w:val="22"/>
          <w:szCs w:val="22"/>
        </w:rPr>
        <w:t>2</w:t>
      </w:r>
      <w:r w:rsidRPr="006645AF">
        <w:rPr>
          <w:rStyle w:val="c135"/>
          <w:rFonts w:ascii="Calibri Light" w:hAnsi="Calibri Light" w:cs="Calibri Light"/>
          <w:sz w:val="22"/>
          <w:szCs w:val="22"/>
        </w:rPr>
        <w:t xml:space="preserve"> </w:t>
      </w:r>
      <w:r w:rsidR="005142EE" w:rsidRPr="006645AF">
        <w:rPr>
          <w:rStyle w:val="c135"/>
          <w:rFonts w:ascii="Calibri Light" w:hAnsi="Calibri Light" w:cs="Calibri Light"/>
          <w:sz w:val="22"/>
          <w:szCs w:val="22"/>
        </w:rPr>
        <w:t>and 20</w:t>
      </w:r>
      <w:r w:rsidR="00445B1F" w:rsidRPr="006645AF">
        <w:rPr>
          <w:rStyle w:val="c135"/>
          <w:rFonts w:ascii="Calibri Light" w:hAnsi="Calibri Light" w:cs="Calibri Light"/>
          <w:sz w:val="22"/>
          <w:szCs w:val="22"/>
        </w:rPr>
        <w:t>2</w:t>
      </w:r>
      <w:r w:rsidR="001965B4">
        <w:rPr>
          <w:rStyle w:val="c135"/>
          <w:rFonts w:ascii="Calibri Light" w:hAnsi="Calibri Light" w:cs="Calibri Light"/>
          <w:sz w:val="22"/>
          <w:szCs w:val="22"/>
        </w:rPr>
        <w:t>1</w:t>
      </w:r>
      <w:r w:rsidR="005142EE" w:rsidRPr="006645AF">
        <w:rPr>
          <w:rStyle w:val="c135"/>
          <w:rFonts w:ascii="Calibri Light" w:hAnsi="Calibri Light" w:cs="Calibri Light"/>
          <w:sz w:val="22"/>
          <w:szCs w:val="22"/>
        </w:rPr>
        <w:t xml:space="preserve"> </w:t>
      </w:r>
      <w:r w:rsidRPr="006645AF">
        <w:rPr>
          <w:rStyle w:val="c135"/>
          <w:rFonts w:ascii="Calibri Light" w:hAnsi="Calibri Light" w:cs="Calibri Light"/>
          <w:sz w:val="22"/>
          <w:szCs w:val="22"/>
        </w:rPr>
        <w:t>ha</w:t>
      </w:r>
      <w:r w:rsidR="00655705" w:rsidRPr="006645AF">
        <w:rPr>
          <w:rStyle w:val="c135"/>
          <w:rFonts w:ascii="Calibri Light" w:hAnsi="Calibri Light" w:cs="Calibri Light"/>
          <w:sz w:val="22"/>
          <w:szCs w:val="22"/>
        </w:rPr>
        <w:t>ve</w:t>
      </w:r>
      <w:r w:rsidRPr="006645AF">
        <w:rPr>
          <w:rStyle w:val="c135"/>
          <w:rFonts w:ascii="Calibri Light" w:hAnsi="Calibri Light" w:cs="Calibri Light"/>
          <w:sz w:val="22"/>
          <w:szCs w:val="22"/>
        </w:rPr>
        <w:t xml:space="preserve"> not been audited or reviewed and do not constitute statutory accounts within the meaning of Section </w:t>
      </w:r>
      <w:r w:rsidR="00757CC7" w:rsidRPr="006645AF">
        <w:rPr>
          <w:rStyle w:val="c135"/>
          <w:rFonts w:ascii="Calibri Light" w:hAnsi="Calibri Light" w:cs="Calibri Light"/>
          <w:sz w:val="22"/>
          <w:szCs w:val="22"/>
        </w:rPr>
        <w:t>43</w:t>
      </w:r>
      <w:r w:rsidR="001B64C8" w:rsidRPr="006645AF">
        <w:rPr>
          <w:rStyle w:val="c135"/>
          <w:rFonts w:ascii="Calibri Light" w:hAnsi="Calibri Light" w:cs="Calibri Light"/>
          <w:sz w:val="22"/>
          <w:szCs w:val="22"/>
        </w:rPr>
        <w:t>4</w:t>
      </w:r>
      <w:r w:rsidRPr="006645AF">
        <w:rPr>
          <w:rStyle w:val="c135"/>
          <w:rFonts w:ascii="Calibri Light" w:hAnsi="Calibri Light" w:cs="Calibri Light"/>
          <w:sz w:val="22"/>
          <w:szCs w:val="22"/>
        </w:rPr>
        <w:t xml:space="preserve"> of the Companies Act </w:t>
      </w:r>
      <w:r w:rsidR="00757CC7" w:rsidRPr="006645AF">
        <w:rPr>
          <w:rStyle w:val="c135"/>
          <w:rFonts w:ascii="Calibri Light" w:hAnsi="Calibri Light" w:cs="Calibri Light"/>
          <w:sz w:val="22"/>
          <w:szCs w:val="22"/>
        </w:rPr>
        <w:t>2006</w:t>
      </w:r>
      <w:r w:rsidR="0006164F" w:rsidRPr="006645AF">
        <w:rPr>
          <w:rStyle w:val="c135"/>
          <w:rFonts w:ascii="Calibri Light" w:hAnsi="Calibri Light" w:cs="Calibri Light"/>
          <w:sz w:val="22"/>
          <w:szCs w:val="22"/>
        </w:rPr>
        <w:t xml:space="preserve">.  </w:t>
      </w:r>
      <w:r w:rsidR="00E36FAB" w:rsidRPr="006645AF">
        <w:rPr>
          <w:rStyle w:val="c135"/>
          <w:rFonts w:ascii="Calibri Light" w:hAnsi="Calibri Light" w:cs="Calibri Light"/>
          <w:sz w:val="22"/>
          <w:szCs w:val="22"/>
        </w:rPr>
        <w:t>The comparative fi</w:t>
      </w:r>
      <w:r w:rsidR="00022B7B" w:rsidRPr="006645AF">
        <w:rPr>
          <w:rStyle w:val="c135"/>
          <w:rFonts w:ascii="Calibri Light" w:hAnsi="Calibri Light" w:cs="Calibri Light"/>
          <w:sz w:val="22"/>
          <w:szCs w:val="22"/>
        </w:rPr>
        <w:t xml:space="preserve">nancial information for the </w:t>
      </w:r>
      <w:r w:rsidR="006F69C4" w:rsidRPr="006645AF">
        <w:rPr>
          <w:rStyle w:val="c135"/>
          <w:rFonts w:ascii="Calibri Light" w:hAnsi="Calibri Light" w:cs="Calibri Light"/>
          <w:sz w:val="22"/>
          <w:szCs w:val="22"/>
        </w:rPr>
        <w:t>year</w:t>
      </w:r>
      <w:r w:rsidR="00022B7B" w:rsidRPr="006645AF">
        <w:rPr>
          <w:rStyle w:val="c135"/>
          <w:rFonts w:ascii="Calibri Light" w:hAnsi="Calibri Light" w:cs="Calibri Light"/>
          <w:sz w:val="22"/>
          <w:szCs w:val="22"/>
        </w:rPr>
        <w:t xml:space="preserve"> ended 31 December</w:t>
      </w:r>
      <w:r w:rsidR="000C4F19" w:rsidRPr="006645AF">
        <w:rPr>
          <w:rStyle w:val="c135"/>
          <w:rFonts w:ascii="Calibri Light" w:hAnsi="Calibri Light" w:cs="Calibri Light"/>
          <w:sz w:val="22"/>
          <w:szCs w:val="22"/>
        </w:rPr>
        <w:t xml:space="preserve"> 20</w:t>
      </w:r>
      <w:r w:rsidR="00445B1F" w:rsidRPr="006645AF">
        <w:rPr>
          <w:rStyle w:val="c135"/>
          <w:rFonts w:ascii="Calibri Light" w:hAnsi="Calibri Light" w:cs="Calibri Light"/>
          <w:sz w:val="22"/>
          <w:szCs w:val="22"/>
        </w:rPr>
        <w:t>2</w:t>
      </w:r>
      <w:r w:rsidR="001965B4">
        <w:rPr>
          <w:rStyle w:val="c135"/>
          <w:rFonts w:ascii="Calibri Light" w:hAnsi="Calibri Light" w:cs="Calibri Light"/>
          <w:sz w:val="22"/>
          <w:szCs w:val="22"/>
        </w:rPr>
        <w:t>1</w:t>
      </w:r>
      <w:r w:rsidR="00E36FAB" w:rsidRPr="006645AF">
        <w:rPr>
          <w:rStyle w:val="c135"/>
          <w:rFonts w:ascii="Calibri Light" w:hAnsi="Calibri Light" w:cs="Calibri Light"/>
          <w:sz w:val="22"/>
          <w:szCs w:val="22"/>
        </w:rPr>
        <w:t xml:space="preserve"> has been derived from the audited financial statements for that </w:t>
      </w:r>
      <w:r w:rsidR="00442776" w:rsidRPr="006645AF">
        <w:rPr>
          <w:rStyle w:val="c135"/>
          <w:rFonts w:ascii="Calibri Light" w:hAnsi="Calibri Light" w:cs="Calibri Light"/>
          <w:sz w:val="22"/>
          <w:szCs w:val="22"/>
        </w:rPr>
        <w:t>period</w:t>
      </w:r>
      <w:r w:rsidR="0006164F" w:rsidRPr="006645AF">
        <w:rPr>
          <w:rStyle w:val="c135"/>
          <w:rFonts w:ascii="Calibri Light" w:hAnsi="Calibri Light" w:cs="Calibri Light"/>
          <w:sz w:val="22"/>
          <w:szCs w:val="22"/>
        </w:rPr>
        <w:t xml:space="preserve">.  </w:t>
      </w:r>
      <w:r w:rsidR="00E36FAB" w:rsidRPr="006645AF">
        <w:rPr>
          <w:rStyle w:val="c135"/>
          <w:rFonts w:ascii="Calibri Light" w:hAnsi="Calibri Light" w:cs="Calibri Light"/>
          <w:sz w:val="22"/>
          <w:szCs w:val="22"/>
        </w:rPr>
        <w:t>A copy of those</w:t>
      </w:r>
      <w:r w:rsidRPr="006645AF">
        <w:rPr>
          <w:rStyle w:val="c135"/>
          <w:rFonts w:ascii="Calibri Light" w:hAnsi="Calibri Light" w:cs="Calibri Light"/>
          <w:sz w:val="22"/>
          <w:szCs w:val="22"/>
        </w:rPr>
        <w:t xml:space="preserve"> statutory </w:t>
      </w:r>
      <w:r w:rsidR="00E36FAB" w:rsidRPr="006645AF">
        <w:rPr>
          <w:rStyle w:val="c135"/>
          <w:rFonts w:ascii="Calibri Light" w:hAnsi="Calibri Light" w:cs="Calibri Light"/>
          <w:sz w:val="22"/>
          <w:szCs w:val="22"/>
        </w:rPr>
        <w:t>financial statements</w:t>
      </w:r>
      <w:r w:rsidRPr="006645AF">
        <w:rPr>
          <w:rStyle w:val="c135"/>
          <w:rFonts w:ascii="Calibri Light" w:hAnsi="Calibri Light" w:cs="Calibri Light"/>
          <w:sz w:val="22"/>
          <w:szCs w:val="22"/>
        </w:rPr>
        <w:t xml:space="preserve"> for the year ended 31 </w:t>
      </w:r>
      <w:r w:rsidR="00022B7B" w:rsidRPr="006645AF">
        <w:rPr>
          <w:rStyle w:val="c135"/>
          <w:rFonts w:ascii="Calibri Light" w:hAnsi="Calibri Light" w:cs="Calibri Light"/>
          <w:sz w:val="22"/>
          <w:szCs w:val="22"/>
        </w:rPr>
        <w:t>December</w:t>
      </w:r>
      <w:r w:rsidRPr="006645AF">
        <w:rPr>
          <w:rStyle w:val="c135"/>
          <w:rFonts w:ascii="Calibri Light" w:hAnsi="Calibri Light" w:cs="Calibri Light"/>
          <w:sz w:val="22"/>
          <w:szCs w:val="22"/>
        </w:rPr>
        <w:t xml:space="preserve"> 20</w:t>
      </w:r>
      <w:r w:rsidR="00D848F7" w:rsidRPr="006645AF">
        <w:rPr>
          <w:rStyle w:val="c135"/>
          <w:rFonts w:ascii="Calibri Light" w:hAnsi="Calibri Light" w:cs="Calibri Light"/>
          <w:sz w:val="22"/>
          <w:szCs w:val="22"/>
        </w:rPr>
        <w:t>2</w:t>
      </w:r>
      <w:r w:rsidR="001965B4">
        <w:rPr>
          <w:rStyle w:val="c135"/>
          <w:rFonts w:ascii="Calibri Light" w:hAnsi="Calibri Light" w:cs="Calibri Light"/>
          <w:sz w:val="22"/>
          <w:szCs w:val="22"/>
        </w:rPr>
        <w:t>1</w:t>
      </w:r>
      <w:r w:rsidRPr="006645AF">
        <w:rPr>
          <w:rStyle w:val="c135"/>
          <w:rFonts w:ascii="Calibri Light" w:hAnsi="Calibri Light" w:cs="Calibri Light"/>
          <w:sz w:val="22"/>
          <w:szCs w:val="22"/>
        </w:rPr>
        <w:t xml:space="preserve"> ha</w:t>
      </w:r>
      <w:r w:rsidR="00E36FAB" w:rsidRPr="006645AF">
        <w:rPr>
          <w:rStyle w:val="c135"/>
          <w:rFonts w:ascii="Calibri Light" w:hAnsi="Calibri Light" w:cs="Calibri Light"/>
          <w:sz w:val="22"/>
          <w:szCs w:val="22"/>
        </w:rPr>
        <w:t>s</w:t>
      </w:r>
      <w:r w:rsidRPr="006645AF">
        <w:rPr>
          <w:rStyle w:val="c135"/>
          <w:rFonts w:ascii="Calibri Light" w:hAnsi="Calibri Light" w:cs="Calibri Light"/>
          <w:sz w:val="22"/>
          <w:szCs w:val="22"/>
        </w:rPr>
        <w:t xml:space="preserve"> been delivered to the Registrar of Companies</w:t>
      </w:r>
      <w:r w:rsidR="0006164F" w:rsidRPr="006645AF">
        <w:rPr>
          <w:rStyle w:val="c135"/>
          <w:rFonts w:ascii="Calibri Light" w:hAnsi="Calibri Light" w:cs="Calibri Light"/>
          <w:sz w:val="22"/>
          <w:szCs w:val="22"/>
        </w:rPr>
        <w:t xml:space="preserve">.  </w:t>
      </w:r>
      <w:r w:rsidR="00B73936" w:rsidRPr="006645AF">
        <w:rPr>
          <w:rStyle w:val="c135"/>
          <w:rFonts w:ascii="Calibri Light" w:hAnsi="Calibri Light" w:cs="Calibri Light"/>
          <w:sz w:val="22"/>
          <w:szCs w:val="22"/>
        </w:rPr>
        <w:t>T</w:t>
      </w:r>
      <w:r w:rsidRPr="006645AF">
        <w:rPr>
          <w:rStyle w:val="c135"/>
          <w:rFonts w:ascii="Calibri Light" w:hAnsi="Calibri Light" w:cs="Calibri Light"/>
          <w:sz w:val="22"/>
          <w:szCs w:val="22"/>
        </w:rPr>
        <w:t xml:space="preserve">he report of the </w:t>
      </w:r>
      <w:r w:rsidR="00B73936" w:rsidRPr="006645AF">
        <w:rPr>
          <w:rStyle w:val="c135"/>
          <w:rFonts w:ascii="Calibri Light" w:hAnsi="Calibri Light" w:cs="Calibri Light"/>
          <w:sz w:val="22"/>
          <w:szCs w:val="22"/>
        </w:rPr>
        <w:t xml:space="preserve">independent </w:t>
      </w:r>
      <w:r w:rsidRPr="006645AF">
        <w:rPr>
          <w:rStyle w:val="c135"/>
          <w:rFonts w:ascii="Calibri Light" w:hAnsi="Calibri Light" w:cs="Calibri Light"/>
          <w:sz w:val="22"/>
          <w:szCs w:val="22"/>
        </w:rPr>
        <w:t>auditors on th</w:t>
      </w:r>
      <w:r w:rsidR="00B73936" w:rsidRPr="006645AF">
        <w:rPr>
          <w:rStyle w:val="c135"/>
          <w:rFonts w:ascii="Calibri Light" w:hAnsi="Calibri Light" w:cs="Calibri Light"/>
          <w:sz w:val="22"/>
          <w:szCs w:val="22"/>
        </w:rPr>
        <w:t>o</w:t>
      </w:r>
      <w:r w:rsidRPr="006645AF">
        <w:rPr>
          <w:rStyle w:val="c135"/>
          <w:rFonts w:ascii="Calibri Light" w:hAnsi="Calibri Light" w:cs="Calibri Light"/>
          <w:sz w:val="22"/>
          <w:szCs w:val="22"/>
        </w:rPr>
        <w:t xml:space="preserve">se </w:t>
      </w:r>
      <w:r w:rsidR="00B73936" w:rsidRPr="006645AF">
        <w:rPr>
          <w:rStyle w:val="c135"/>
          <w:rFonts w:ascii="Calibri Light" w:hAnsi="Calibri Light" w:cs="Calibri Light"/>
          <w:sz w:val="22"/>
          <w:szCs w:val="22"/>
        </w:rPr>
        <w:t>financial statements</w:t>
      </w:r>
      <w:r w:rsidRPr="006645AF">
        <w:rPr>
          <w:rStyle w:val="c135"/>
          <w:rFonts w:ascii="Calibri Light" w:hAnsi="Calibri Light" w:cs="Calibri Light"/>
          <w:sz w:val="22"/>
          <w:szCs w:val="22"/>
        </w:rPr>
        <w:t xml:space="preserve"> was unqualified</w:t>
      </w:r>
      <w:r w:rsidR="00E6303D" w:rsidRPr="006645AF">
        <w:rPr>
          <w:rStyle w:val="c135"/>
          <w:rFonts w:ascii="Calibri Light" w:hAnsi="Calibri Light" w:cs="Calibri Light"/>
          <w:sz w:val="22"/>
          <w:szCs w:val="22"/>
        </w:rPr>
        <w:t>, drew attention to a material uncertainty relating to going concern</w:t>
      </w:r>
      <w:r w:rsidRPr="006645AF">
        <w:rPr>
          <w:rStyle w:val="c135"/>
          <w:rFonts w:ascii="Calibri Light" w:hAnsi="Calibri Light" w:cs="Calibri Light"/>
          <w:sz w:val="22"/>
          <w:szCs w:val="22"/>
        </w:rPr>
        <w:t xml:space="preserve"> and did not contain a statement under Section</w:t>
      </w:r>
      <w:r w:rsidR="00B73936" w:rsidRPr="006645AF">
        <w:rPr>
          <w:rStyle w:val="c135"/>
          <w:rFonts w:ascii="Calibri Light" w:hAnsi="Calibri Light" w:cs="Calibri Light"/>
          <w:sz w:val="22"/>
          <w:szCs w:val="22"/>
        </w:rPr>
        <w:t>s</w:t>
      </w:r>
      <w:r w:rsidRPr="006645AF">
        <w:rPr>
          <w:rStyle w:val="c135"/>
          <w:rFonts w:ascii="Calibri Light" w:hAnsi="Calibri Light" w:cs="Calibri Light"/>
          <w:sz w:val="22"/>
          <w:szCs w:val="22"/>
        </w:rPr>
        <w:t xml:space="preserve"> </w:t>
      </w:r>
      <w:r w:rsidR="00B73936" w:rsidRPr="006645AF">
        <w:rPr>
          <w:rStyle w:val="c135"/>
          <w:rFonts w:ascii="Calibri Light" w:hAnsi="Calibri Light" w:cs="Calibri Light"/>
          <w:sz w:val="22"/>
          <w:szCs w:val="22"/>
        </w:rPr>
        <w:t>498</w:t>
      </w:r>
      <w:r w:rsidRPr="006645AF">
        <w:rPr>
          <w:rStyle w:val="c135"/>
          <w:rFonts w:ascii="Calibri Light" w:hAnsi="Calibri Light" w:cs="Calibri Light"/>
          <w:sz w:val="22"/>
          <w:szCs w:val="22"/>
        </w:rPr>
        <w:t xml:space="preserve"> (2) or (3) of the Companies Act </w:t>
      </w:r>
      <w:r w:rsidR="00B73936" w:rsidRPr="006645AF">
        <w:rPr>
          <w:rStyle w:val="c135"/>
          <w:rFonts w:ascii="Calibri Light" w:hAnsi="Calibri Light" w:cs="Calibri Light"/>
          <w:sz w:val="22"/>
          <w:szCs w:val="22"/>
        </w:rPr>
        <w:t>2006</w:t>
      </w:r>
      <w:r w:rsidRPr="006645AF">
        <w:rPr>
          <w:rStyle w:val="c135"/>
          <w:rFonts w:ascii="Calibri Light" w:hAnsi="Calibri Light" w:cs="Calibri Light"/>
          <w:sz w:val="22"/>
          <w:szCs w:val="22"/>
        </w:rPr>
        <w:t>.</w:t>
      </w:r>
    </w:p>
    <w:p w14:paraId="6440056D" w14:textId="7D470A70" w:rsidR="00885507" w:rsidRPr="006645AF" w:rsidRDefault="00885507" w:rsidP="00E80EBC">
      <w:pPr>
        <w:pStyle w:val="c11"/>
        <w:spacing w:before="0" w:beforeAutospacing="0" w:after="120" w:afterAutospacing="0"/>
        <w:jc w:val="both"/>
        <w:rPr>
          <w:rFonts w:ascii="Calibri Light" w:hAnsi="Calibri Light" w:cs="Calibri Light"/>
          <w:sz w:val="22"/>
          <w:szCs w:val="22"/>
        </w:rPr>
      </w:pPr>
      <w:r w:rsidRPr="006645AF">
        <w:rPr>
          <w:rStyle w:val="c135"/>
          <w:rFonts w:ascii="Calibri Light" w:hAnsi="Calibri Light" w:cs="Calibri Light"/>
          <w:sz w:val="22"/>
          <w:szCs w:val="22"/>
        </w:rPr>
        <w:t xml:space="preserve">The interim financial statements </w:t>
      </w:r>
      <w:r w:rsidR="00DA05B6" w:rsidRPr="006645AF">
        <w:rPr>
          <w:rFonts w:ascii="Calibri Light" w:hAnsi="Calibri Light"/>
          <w:sz w:val="22"/>
          <w:szCs w:val="22"/>
        </w:rPr>
        <w:t xml:space="preserve">have been prepared in accordance with International Accounting Standards in conformity with the requirements of the Companies Act 2006 as they apply to the financial statements of the Company for the </w:t>
      </w:r>
      <w:r w:rsidR="00AE79ED" w:rsidRPr="006645AF">
        <w:rPr>
          <w:rFonts w:ascii="Calibri Light" w:hAnsi="Calibri Light"/>
          <w:sz w:val="22"/>
          <w:szCs w:val="22"/>
        </w:rPr>
        <w:t xml:space="preserve">six months </w:t>
      </w:r>
      <w:r w:rsidR="00DA05B6" w:rsidRPr="006645AF">
        <w:rPr>
          <w:rFonts w:ascii="Calibri Light" w:hAnsi="Calibri Light"/>
          <w:sz w:val="22"/>
          <w:szCs w:val="22"/>
        </w:rPr>
        <w:t>ended 3</w:t>
      </w:r>
      <w:r w:rsidR="00AE79ED" w:rsidRPr="006645AF">
        <w:rPr>
          <w:rFonts w:ascii="Calibri Light" w:hAnsi="Calibri Light"/>
          <w:sz w:val="22"/>
          <w:szCs w:val="22"/>
        </w:rPr>
        <w:t>0</w:t>
      </w:r>
      <w:r w:rsidR="00DA05B6" w:rsidRPr="006645AF">
        <w:rPr>
          <w:rFonts w:ascii="Calibri Light" w:hAnsi="Calibri Light"/>
          <w:sz w:val="22"/>
          <w:szCs w:val="22"/>
        </w:rPr>
        <w:t xml:space="preserve"> </w:t>
      </w:r>
      <w:r w:rsidR="00AE79ED" w:rsidRPr="006645AF">
        <w:rPr>
          <w:rFonts w:ascii="Calibri Light" w:hAnsi="Calibri Light"/>
          <w:sz w:val="22"/>
          <w:szCs w:val="22"/>
        </w:rPr>
        <w:t>June</w:t>
      </w:r>
      <w:r w:rsidR="00DA05B6" w:rsidRPr="006645AF">
        <w:rPr>
          <w:rFonts w:ascii="Calibri Light" w:hAnsi="Calibri Light"/>
          <w:sz w:val="22"/>
          <w:szCs w:val="22"/>
        </w:rPr>
        <w:t xml:space="preserve"> 202</w:t>
      </w:r>
      <w:r w:rsidR="000B3E32">
        <w:rPr>
          <w:rFonts w:ascii="Calibri Light" w:hAnsi="Calibri Light"/>
          <w:sz w:val="22"/>
          <w:szCs w:val="22"/>
        </w:rPr>
        <w:t>2</w:t>
      </w:r>
      <w:r w:rsidR="00DA05B6" w:rsidRPr="006645AF">
        <w:rPr>
          <w:rFonts w:ascii="Calibri Light" w:hAnsi="Calibri Light"/>
          <w:sz w:val="22"/>
          <w:szCs w:val="22"/>
        </w:rPr>
        <w:t xml:space="preserve"> and as applied in accordance with the provisions of the Companies Act 2006 </w:t>
      </w:r>
      <w:r w:rsidRPr="006645AF">
        <w:rPr>
          <w:rStyle w:val="c135"/>
          <w:rFonts w:ascii="Calibri Light" w:hAnsi="Calibri Light" w:cs="Calibri Light"/>
          <w:sz w:val="22"/>
          <w:szCs w:val="22"/>
        </w:rPr>
        <w:t>and under the historical cost convention</w:t>
      </w:r>
      <w:r w:rsidR="00A123CC">
        <w:rPr>
          <w:rStyle w:val="c135"/>
          <w:rFonts w:ascii="Calibri Light" w:hAnsi="Calibri Light" w:cs="Calibri Light"/>
          <w:sz w:val="22"/>
          <w:szCs w:val="22"/>
        </w:rPr>
        <w:t xml:space="preserve"> or fair value where appro</w:t>
      </w:r>
      <w:r w:rsidR="00AC3F4C">
        <w:rPr>
          <w:rStyle w:val="c135"/>
          <w:rFonts w:ascii="Calibri Light" w:hAnsi="Calibri Light" w:cs="Calibri Light"/>
          <w:sz w:val="22"/>
          <w:szCs w:val="22"/>
        </w:rPr>
        <w:t>priate</w:t>
      </w:r>
      <w:r w:rsidR="0006164F" w:rsidRPr="006645AF">
        <w:rPr>
          <w:rStyle w:val="c135"/>
          <w:rFonts w:ascii="Calibri Light" w:hAnsi="Calibri Light" w:cs="Calibri Light"/>
          <w:sz w:val="22"/>
          <w:szCs w:val="22"/>
        </w:rPr>
        <w:t xml:space="preserve">.  </w:t>
      </w:r>
      <w:r w:rsidR="00442776" w:rsidRPr="006645AF">
        <w:rPr>
          <w:rStyle w:val="c135"/>
          <w:rFonts w:ascii="Calibri Light" w:hAnsi="Calibri Light" w:cs="Calibri Light"/>
          <w:sz w:val="22"/>
          <w:szCs w:val="22"/>
        </w:rPr>
        <w:t xml:space="preserve">They have also been </w:t>
      </w:r>
      <w:r w:rsidR="005E41EF" w:rsidRPr="006645AF">
        <w:rPr>
          <w:rStyle w:val="c135"/>
          <w:rFonts w:ascii="Calibri Light" w:hAnsi="Calibri Light" w:cs="Calibri Light"/>
          <w:sz w:val="22"/>
          <w:szCs w:val="22"/>
        </w:rPr>
        <w:t xml:space="preserve">prepared </w:t>
      </w:r>
      <w:r w:rsidR="00442776" w:rsidRPr="006645AF">
        <w:rPr>
          <w:rStyle w:val="c135"/>
          <w:rFonts w:ascii="Calibri Light" w:hAnsi="Calibri Light" w:cs="Calibri Light"/>
          <w:sz w:val="22"/>
          <w:szCs w:val="22"/>
        </w:rPr>
        <w:t xml:space="preserve">on a basis consistent with the accounting policies expected to be applied for </w:t>
      </w:r>
      <w:r w:rsidR="00CA3251" w:rsidRPr="006645AF">
        <w:rPr>
          <w:rStyle w:val="c135"/>
          <w:rFonts w:ascii="Calibri Light" w:hAnsi="Calibri Light" w:cs="Calibri Light"/>
          <w:sz w:val="22"/>
          <w:szCs w:val="22"/>
        </w:rPr>
        <w:t>the year ending 31 December 20</w:t>
      </w:r>
      <w:r w:rsidR="00914BD5" w:rsidRPr="006645AF">
        <w:rPr>
          <w:rStyle w:val="c135"/>
          <w:rFonts w:ascii="Calibri Light" w:hAnsi="Calibri Light" w:cs="Calibri Light"/>
          <w:sz w:val="22"/>
          <w:szCs w:val="22"/>
        </w:rPr>
        <w:t>2</w:t>
      </w:r>
      <w:r w:rsidR="000B3E32">
        <w:rPr>
          <w:rStyle w:val="c135"/>
          <w:rFonts w:ascii="Calibri Light" w:hAnsi="Calibri Light" w:cs="Calibri Light"/>
          <w:sz w:val="22"/>
          <w:szCs w:val="22"/>
        </w:rPr>
        <w:t>2</w:t>
      </w:r>
      <w:r w:rsidR="00442776" w:rsidRPr="006645AF">
        <w:rPr>
          <w:rStyle w:val="c135"/>
          <w:rFonts w:ascii="Calibri Light" w:hAnsi="Calibri Light" w:cs="Calibri Light"/>
          <w:sz w:val="22"/>
          <w:szCs w:val="22"/>
        </w:rPr>
        <w:t xml:space="preserve"> and which are also </w:t>
      </w:r>
      <w:r w:rsidRPr="006645AF">
        <w:rPr>
          <w:rFonts w:ascii="Calibri Light" w:hAnsi="Calibri Light" w:cs="Calibri Light"/>
          <w:sz w:val="22"/>
          <w:szCs w:val="22"/>
        </w:rPr>
        <w:t>consistent with those set out in the statutory accounts of the Compa</w:t>
      </w:r>
      <w:r w:rsidR="006F69C4" w:rsidRPr="006645AF">
        <w:rPr>
          <w:rFonts w:ascii="Calibri Light" w:hAnsi="Calibri Light" w:cs="Calibri Light"/>
          <w:sz w:val="22"/>
          <w:szCs w:val="22"/>
        </w:rPr>
        <w:t>ny for the year</w:t>
      </w:r>
      <w:r w:rsidR="00022B7B" w:rsidRPr="006645AF">
        <w:rPr>
          <w:rFonts w:ascii="Calibri Light" w:hAnsi="Calibri Light" w:cs="Calibri Light"/>
          <w:sz w:val="22"/>
          <w:szCs w:val="22"/>
        </w:rPr>
        <w:t xml:space="preserve"> ended 31 December</w:t>
      </w:r>
      <w:r w:rsidRPr="006645AF">
        <w:rPr>
          <w:rFonts w:ascii="Calibri Light" w:hAnsi="Calibri Light" w:cs="Calibri Light"/>
          <w:sz w:val="22"/>
          <w:szCs w:val="22"/>
        </w:rPr>
        <w:t xml:space="preserve"> 20</w:t>
      </w:r>
      <w:r w:rsidR="005E41EF" w:rsidRPr="006645AF">
        <w:rPr>
          <w:rFonts w:ascii="Calibri Light" w:hAnsi="Calibri Light" w:cs="Calibri Light"/>
          <w:sz w:val="22"/>
          <w:szCs w:val="22"/>
        </w:rPr>
        <w:t>2</w:t>
      </w:r>
      <w:r w:rsidR="000B3E32">
        <w:rPr>
          <w:rFonts w:ascii="Calibri Light" w:hAnsi="Calibri Light" w:cs="Calibri Light"/>
          <w:sz w:val="22"/>
          <w:szCs w:val="22"/>
        </w:rPr>
        <w:t>1</w:t>
      </w:r>
      <w:r w:rsidR="003A5F69" w:rsidRPr="006645AF">
        <w:rPr>
          <w:rFonts w:ascii="Calibri Light" w:hAnsi="Calibri Light" w:cs="Calibri Light"/>
          <w:sz w:val="22"/>
          <w:szCs w:val="22"/>
        </w:rPr>
        <w:t>.</w:t>
      </w:r>
    </w:p>
    <w:p w14:paraId="1E5ECC20" w14:textId="7A5865AE" w:rsidR="003A5F69" w:rsidRPr="006645AF" w:rsidRDefault="003A5F69" w:rsidP="00E80EBC">
      <w:pPr>
        <w:pStyle w:val="c11"/>
        <w:spacing w:before="0" w:beforeAutospacing="0" w:after="120" w:afterAutospacing="0"/>
        <w:jc w:val="both"/>
        <w:rPr>
          <w:rFonts w:ascii="Calibri Light" w:hAnsi="Calibri Light" w:cs="Calibri Light"/>
          <w:sz w:val="22"/>
          <w:szCs w:val="22"/>
        </w:rPr>
      </w:pPr>
      <w:r w:rsidRPr="006645AF">
        <w:rPr>
          <w:rFonts w:ascii="Calibri Light" w:hAnsi="Calibri Light" w:cs="Calibri Light"/>
          <w:sz w:val="22"/>
          <w:szCs w:val="22"/>
        </w:rPr>
        <w:t>The interim financial statements are presented in pounds sterling because that is the currency of the primary economic environment in which the company operates.</w:t>
      </w:r>
    </w:p>
    <w:p w14:paraId="6440056E" w14:textId="77777777" w:rsidR="00FB35E5" w:rsidRPr="006645AF" w:rsidRDefault="00B86756" w:rsidP="004F357C">
      <w:pPr>
        <w:numPr>
          <w:ilvl w:val="0"/>
          <w:numId w:val="1"/>
        </w:numPr>
        <w:rPr>
          <w:rFonts w:ascii="Calibri Light" w:hAnsi="Calibri Light" w:cs="Calibri Light"/>
          <w:b/>
          <w:sz w:val="22"/>
          <w:szCs w:val="22"/>
        </w:rPr>
      </w:pPr>
      <w:r w:rsidRPr="006645AF">
        <w:rPr>
          <w:rFonts w:ascii="Calibri Light" w:hAnsi="Calibri Light" w:cs="Calibri Light"/>
          <w:b/>
          <w:sz w:val="22"/>
          <w:szCs w:val="22"/>
        </w:rPr>
        <w:t>Taxation</w:t>
      </w:r>
    </w:p>
    <w:p w14:paraId="6440056F" w14:textId="62AB1A30" w:rsidR="00B86756" w:rsidRPr="006645AF" w:rsidRDefault="00B86756" w:rsidP="00E80EBC">
      <w:pPr>
        <w:spacing w:after="120"/>
        <w:rPr>
          <w:rFonts w:ascii="Calibri Light" w:hAnsi="Calibri Light" w:cs="Calibri Light"/>
          <w:sz w:val="22"/>
          <w:szCs w:val="22"/>
        </w:rPr>
      </w:pPr>
      <w:r w:rsidRPr="006645AF">
        <w:rPr>
          <w:rFonts w:ascii="Calibri Light" w:hAnsi="Calibri Light" w:cs="Calibri Light"/>
          <w:sz w:val="22"/>
          <w:szCs w:val="22"/>
        </w:rPr>
        <w:t>On the basis of these accounts the</w:t>
      </w:r>
      <w:r w:rsidR="00643B99">
        <w:rPr>
          <w:rFonts w:ascii="Calibri Light" w:hAnsi="Calibri Light" w:cs="Calibri Light"/>
          <w:sz w:val="22"/>
          <w:szCs w:val="22"/>
        </w:rPr>
        <w:t xml:space="preserve"> only charge to taxation</w:t>
      </w:r>
      <w:r w:rsidR="00B709A2">
        <w:rPr>
          <w:rFonts w:ascii="Calibri Light" w:hAnsi="Calibri Light" w:cs="Calibri Light"/>
          <w:sz w:val="22"/>
          <w:szCs w:val="22"/>
        </w:rPr>
        <w:t xml:space="preserve"> </w:t>
      </w:r>
      <w:r w:rsidR="00643B99">
        <w:rPr>
          <w:rFonts w:ascii="Calibri Light" w:hAnsi="Calibri Light" w:cs="Calibri Light"/>
          <w:sz w:val="22"/>
          <w:szCs w:val="22"/>
        </w:rPr>
        <w:t>is the deferred taxation arising</w:t>
      </w:r>
      <w:r w:rsidR="00B709A2">
        <w:rPr>
          <w:rFonts w:ascii="Calibri Light" w:hAnsi="Calibri Light" w:cs="Calibri Light"/>
          <w:sz w:val="22"/>
          <w:szCs w:val="22"/>
        </w:rPr>
        <w:t xml:space="preserve"> </w:t>
      </w:r>
      <w:r w:rsidR="00643B99">
        <w:rPr>
          <w:rFonts w:ascii="Calibri Light" w:hAnsi="Calibri Light" w:cs="Calibri Light"/>
          <w:sz w:val="22"/>
          <w:szCs w:val="22"/>
        </w:rPr>
        <w:t>on the revaluation of the company’s investments</w:t>
      </w:r>
      <w:r w:rsidR="00B709A2">
        <w:rPr>
          <w:rFonts w:ascii="Calibri Light" w:hAnsi="Calibri Light" w:cs="Calibri Light"/>
          <w:sz w:val="22"/>
          <w:szCs w:val="22"/>
        </w:rPr>
        <w:t>.</w:t>
      </w:r>
      <w:r w:rsidRPr="006645AF">
        <w:rPr>
          <w:rFonts w:ascii="Calibri Light" w:hAnsi="Calibri Light" w:cs="Calibri Light"/>
          <w:sz w:val="22"/>
          <w:szCs w:val="22"/>
        </w:rPr>
        <w:t xml:space="preserve"> </w:t>
      </w:r>
    </w:p>
    <w:p w14:paraId="64400571" w14:textId="7526E12E" w:rsidR="00B86756" w:rsidRPr="006645AF" w:rsidRDefault="00E107A4" w:rsidP="004F357C">
      <w:pPr>
        <w:numPr>
          <w:ilvl w:val="0"/>
          <w:numId w:val="1"/>
        </w:numPr>
        <w:rPr>
          <w:rFonts w:ascii="Calibri Light" w:hAnsi="Calibri Light" w:cs="Calibri Light"/>
          <w:b/>
          <w:sz w:val="22"/>
          <w:szCs w:val="22"/>
        </w:rPr>
      </w:pPr>
      <w:r>
        <w:rPr>
          <w:rFonts w:ascii="Calibri Light" w:hAnsi="Calibri Light" w:cs="Calibri Light"/>
          <w:b/>
          <w:sz w:val="22"/>
          <w:szCs w:val="22"/>
        </w:rPr>
        <w:t>Earnings</w:t>
      </w:r>
      <w:r w:rsidR="00152E58">
        <w:rPr>
          <w:rFonts w:ascii="Calibri Light" w:hAnsi="Calibri Light" w:cs="Calibri Light"/>
          <w:b/>
          <w:sz w:val="22"/>
          <w:szCs w:val="22"/>
        </w:rPr>
        <w:t xml:space="preserve"> </w:t>
      </w:r>
      <w:r w:rsidR="00B86756" w:rsidRPr="006645AF">
        <w:rPr>
          <w:rFonts w:ascii="Calibri Light" w:hAnsi="Calibri Light" w:cs="Calibri Light"/>
          <w:b/>
          <w:sz w:val="22"/>
          <w:szCs w:val="22"/>
        </w:rPr>
        <w:t>per share</w:t>
      </w:r>
    </w:p>
    <w:p w14:paraId="64400572" w14:textId="0D6810F6" w:rsidR="00B86756" w:rsidRPr="006645AF" w:rsidRDefault="00914A98" w:rsidP="00B86756">
      <w:pPr>
        <w:rPr>
          <w:rFonts w:ascii="Calibri Light" w:hAnsi="Calibri Light" w:cs="Calibri Light"/>
          <w:sz w:val="22"/>
          <w:szCs w:val="22"/>
        </w:rPr>
      </w:pPr>
      <w:r w:rsidRPr="006645AF">
        <w:rPr>
          <w:rFonts w:ascii="Calibri Light" w:hAnsi="Calibri Light" w:cs="Calibri Light"/>
          <w:sz w:val="22"/>
          <w:szCs w:val="22"/>
        </w:rPr>
        <w:t xml:space="preserve">The </w:t>
      </w:r>
      <w:r w:rsidR="00E107A4">
        <w:rPr>
          <w:rFonts w:ascii="Calibri Light" w:hAnsi="Calibri Light" w:cs="Calibri Light"/>
          <w:sz w:val="22"/>
          <w:szCs w:val="22"/>
        </w:rPr>
        <w:t>profit/</w:t>
      </w:r>
      <w:r w:rsidR="00AC185C" w:rsidRPr="006645AF">
        <w:rPr>
          <w:rFonts w:ascii="Calibri Light" w:hAnsi="Calibri Light" w:cs="Calibri Light"/>
          <w:sz w:val="22"/>
          <w:szCs w:val="22"/>
        </w:rPr>
        <w:t>loss</w:t>
      </w:r>
      <w:r w:rsidR="00B86756" w:rsidRPr="006645AF">
        <w:rPr>
          <w:rFonts w:ascii="Calibri Light" w:hAnsi="Calibri Light" w:cs="Calibri Light"/>
          <w:sz w:val="22"/>
          <w:szCs w:val="22"/>
        </w:rPr>
        <w:t xml:space="preserve"> and number of shares used in the calculation of </w:t>
      </w:r>
      <w:r w:rsidRPr="006645AF">
        <w:rPr>
          <w:rFonts w:ascii="Calibri Light" w:hAnsi="Calibri Light" w:cs="Calibri Light"/>
          <w:sz w:val="22"/>
          <w:szCs w:val="22"/>
        </w:rPr>
        <w:t>earnings</w:t>
      </w:r>
      <w:r w:rsidR="00B86756" w:rsidRPr="006645AF">
        <w:rPr>
          <w:rFonts w:ascii="Calibri Light" w:hAnsi="Calibri Light" w:cs="Calibri Light"/>
          <w:sz w:val="22"/>
          <w:szCs w:val="22"/>
        </w:rPr>
        <w:t xml:space="preserve"> per share are as follows:</w:t>
      </w:r>
    </w:p>
    <w:p w14:paraId="64400573" w14:textId="77777777" w:rsidR="00B86756" w:rsidRPr="006645AF" w:rsidRDefault="00B86756" w:rsidP="00B86756">
      <w:pPr>
        <w:rPr>
          <w:rFonts w:ascii="Calibri Light" w:hAnsi="Calibri Light" w:cs="Calibri Light"/>
          <w:sz w:val="22"/>
          <w:szCs w:val="22"/>
        </w:rPr>
      </w:pPr>
    </w:p>
    <w:tbl>
      <w:tblPr>
        <w:tblW w:w="10020" w:type="dxa"/>
        <w:tblLook w:val="04A0" w:firstRow="1" w:lastRow="0" w:firstColumn="1" w:lastColumn="0" w:noHBand="0" w:noVBand="1"/>
      </w:tblPr>
      <w:tblGrid>
        <w:gridCol w:w="4920"/>
        <w:gridCol w:w="222"/>
        <w:gridCol w:w="1540"/>
        <w:gridCol w:w="222"/>
        <w:gridCol w:w="1480"/>
        <w:gridCol w:w="222"/>
        <w:gridCol w:w="1540"/>
      </w:tblGrid>
      <w:tr w:rsidR="00313057" w14:paraId="4D321C77" w14:textId="77777777" w:rsidTr="00313057">
        <w:trPr>
          <w:trHeight w:val="600"/>
        </w:trPr>
        <w:tc>
          <w:tcPr>
            <w:tcW w:w="4920" w:type="dxa"/>
            <w:tcBorders>
              <w:top w:val="nil"/>
              <w:left w:val="nil"/>
              <w:bottom w:val="nil"/>
              <w:right w:val="nil"/>
            </w:tcBorders>
            <w:shd w:val="clear" w:color="auto" w:fill="auto"/>
            <w:noWrap/>
            <w:vAlign w:val="bottom"/>
            <w:hideMark/>
          </w:tcPr>
          <w:p w14:paraId="4E635AC0" w14:textId="77777777" w:rsidR="00313057" w:rsidRDefault="00313057">
            <w:pPr>
              <w:rPr>
                <w:sz w:val="20"/>
                <w:szCs w:val="20"/>
                <w:lang w:eastAsia="en-GB"/>
              </w:rPr>
            </w:pPr>
          </w:p>
        </w:tc>
        <w:tc>
          <w:tcPr>
            <w:tcW w:w="180" w:type="dxa"/>
            <w:tcBorders>
              <w:top w:val="nil"/>
              <w:left w:val="nil"/>
              <w:bottom w:val="nil"/>
              <w:right w:val="nil"/>
            </w:tcBorders>
            <w:shd w:val="clear" w:color="auto" w:fill="auto"/>
            <w:noWrap/>
            <w:vAlign w:val="bottom"/>
            <w:hideMark/>
          </w:tcPr>
          <w:p w14:paraId="549D5C01" w14:textId="77777777" w:rsidR="00313057" w:rsidRDefault="00313057">
            <w:pPr>
              <w:rPr>
                <w:sz w:val="20"/>
                <w:szCs w:val="20"/>
              </w:rPr>
            </w:pPr>
          </w:p>
        </w:tc>
        <w:tc>
          <w:tcPr>
            <w:tcW w:w="1540" w:type="dxa"/>
            <w:tcBorders>
              <w:top w:val="nil"/>
              <w:left w:val="nil"/>
              <w:bottom w:val="nil"/>
              <w:right w:val="nil"/>
            </w:tcBorders>
            <w:shd w:val="clear" w:color="auto" w:fill="auto"/>
            <w:vAlign w:val="bottom"/>
            <w:hideMark/>
          </w:tcPr>
          <w:p w14:paraId="33DF6D8D"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80" w:type="dxa"/>
            <w:tcBorders>
              <w:top w:val="nil"/>
              <w:left w:val="nil"/>
              <w:bottom w:val="nil"/>
              <w:right w:val="nil"/>
            </w:tcBorders>
            <w:shd w:val="clear" w:color="auto" w:fill="auto"/>
            <w:noWrap/>
            <w:vAlign w:val="bottom"/>
            <w:hideMark/>
          </w:tcPr>
          <w:p w14:paraId="1D7A963D" w14:textId="77777777" w:rsidR="00313057" w:rsidRDefault="00313057">
            <w:pPr>
              <w:jc w:val="right"/>
              <w:rPr>
                <w:rFonts w:ascii="Calibri Light" w:hAnsi="Calibri Light" w:cs="Arial"/>
                <w:b/>
                <w:bCs/>
                <w:sz w:val="22"/>
                <w:szCs w:val="22"/>
              </w:rPr>
            </w:pPr>
          </w:p>
        </w:tc>
        <w:tc>
          <w:tcPr>
            <w:tcW w:w="1480" w:type="dxa"/>
            <w:tcBorders>
              <w:top w:val="nil"/>
              <w:left w:val="nil"/>
              <w:bottom w:val="nil"/>
              <w:right w:val="nil"/>
            </w:tcBorders>
            <w:shd w:val="clear" w:color="auto" w:fill="auto"/>
            <w:vAlign w:val="bottom"/>
            <w:hideMark/>
          </w:tcPr>
          <w:p w14:paraId="02E257BD"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 xml:space="preserve">  Six months ended</w:t>
            </w:r>
          </w:p>
        </w:tc>
        <w:tc>
          <w:tcPr>
            <w:tcW w:w="180" w:type="dxa"/>
            <w:tcBorders>
              <w:top w:val="nil"/>
              <w:left w:val="nil"/>
              <w:bottom w:val="nil"/>
              <w:right w:val="nil"/>
            </w:tcBorders>
            <w:shd w:val="clear" w:color="auto" w:fill="auto"/>
            <w:noWrap/>
            <w:vAlign w:val="bottom"/>
            <w:hideMark/>
          </w:tcPr>
          <w:p w14:paraId="404C9C44" w14:textId="77777777" w:rsidR="00313057" w:rsidRDefault="00313057">
            <w:pPr>
              <w:jc w:val="right"/>
              <w:rPr>
                <w:rFonts w:ascii="Calibri Light" w:hAnsi="Calibri Light" w:cs="Arial"/>
                <w:b/>
                <w:bCs/>
                <w:sz w:val="22"/>
                <w:szCs w:val="22"/>
              </w:rPr>
            </w:pPr>
          </w:p>
        </w:tc>
        <w:tc>
          <w:tcPr>
            <w:tcW w:w="1540" w:type="dxa"/>
            <w:tcBorders>
              <w:top w:val="nil"/>
              <w:left w:val="nil"/>
              <w:bottom w:val="nil"/>
              <w:right w:val="nil"/>
            </w:tcBorders>
            <w:shd w:val="clear" w:color="auto" w:fill="auto"/>
            <w:vAlign w:val="bottom"/>
            <w:hideMark/>
          </w:tcPr>
          <w:p w14:paraId="5613B5CB"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Year ended</w:t>
            </w:r>
          </w:p>
        </w:tc>
      </w:tr>
      <w:tr w:rsidR="00313057" w14:paraId="286F1CCA" w14:textId="77777777" w:rsidTr="00313057">
        <w:trPr>
          <w:trHeight w:val="300"/>
        </w:trPr>
        <w:tc>
          <w:tcPr>
            <w:tcW w:w="4920" w:type="dxa"/>
            <w:tcBorders>
              <w:top w:val="nil"/>
              <w:left w:val="nil"/>
              <w:bottom w:val="nil"/>
              <w:right w:val="nil"/>
            </w:tcBorders>
            <w:shd w:val="clear" w:color="auto" w:fill="auto"/>
            <w:noWrap/>
            <w:vAlign w:val="bottom"/>
            <w:hideMark/>
          </w:tcPr>
          <w:p w14:paraId="167AD467" w14:textId="77777777" w:rsidR="00313057" w:rsidRDefault="00313057">
            <w:pPr>
              <w:jc w:val="right"/>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01333EBA" w14:textId="77777777" w:rsidR="00313057" w:rsidRDefault="00313057">
            <w:pPr>
              <w:rPr>
                <w:sz w:val="20"/>
                <w:szCs w:val="20"/>
              </w:rPr>
            </w:pPr>
          </w:p>
        </w:tc>
        <w:tc>
          <w:tcPr>
            <w:tcW w:w="1540" w:type="dxa"/>
            <w:tcBorders>
              <w:top w:val="nil"/>
              <w:left w:val="nil"/>
              <w:bottom w:val="single" w:sz="4" w:space="0" w:color="auto"/>
              <w:right w:val="nil"/>
            </w:tcBorders>
            <w:shd w:val="clear" w:color="auto" w:fill="auto"/>
            <w:noWrap/>
            <w:vAlign w:val="bottom"/>
            <w:hideMark/>
          </w:tcPr>
          <w:p w14:paraId="25FA07BD"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30 June</w:t>
            </w:r>
          </w:p>
        </w:tc>
        <w:tc>
          <w:tcPr>
            <w:tcW w:w="180" w:type="dxa"/>
            <w:tcBorders>
              <w:top w:val="nil"/>
              <w:left w:val="nil"/>
              <w:bottom w:val="nil"/>
              <w:right w:val="nil"/>
            </w:tcBorders>
            <w:shd w:val="clear" w:color="auto" w:fill="auto"/>
            <w:noWrap/>
            <w:vAlign w:val="bottom"/>
            <w:hideMark/>
          </w:tcPr>
          <w:p w14:paraId="0407B0E9" w14:textId="77777777" w:rsidR="00313057" w:rsidRDefault="00313057">
            <w:pPr>
              <w:jc w:val="right"/>
              <w:rPr>
                <w:rFonts w:ascii="Calibri Light" w:hAnsi="Calibri Light" w:cs="Arial"/>
                <w:b/>
                <w:bCs/>
                <w:sz w:val="22"/>
                <w:szCs w:val="22"/>
              </w:rPr>
            </w:pPr>
          </w:p>
        </w:tc>
        <w:tc>
          <w:tcPr>
            <w:tcW w:w="1480" w:type="dxa"/>
            <w:tcBorders>
              <w:top w:val="nil"/>
              <w:left w:val="nil"/>
              <w:bottom w:val="single" w:sz="4" w:space="0" w:color="auto"/>
              <w:right w:val="nil"/>
            </w:tcBorders>
            <w:shd w:val="clear" w:color="auto" w:fill="auto"/>
            <w:noWrap/>
            <w:vAlign w:val="bottom"/>
            <w:hideMark/>
          </w:tcPr>
          <w:p w14:paraId="361A920E"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30 June</w:t>
            </w:r>
          </w:p>
        </w:tc>
        <w:tc>
          <w:tcPr>
            <w:tcW w:w="180" w:type="dxa"/>
            <w:tcBorders>
              <w:top w:val="nil"/>
              <w:left w:val="nil"/>
              <w:bottom w:val="nil"/>
              <w:right w:val="nil"/>
            </w:tcBorders>
            <w:shd w:val="clear" w:color="auto" w:fill="auto"/>
            <w:noWrap/>
            <w:vAlign w:val="bottom"/>
            <w:hideMark/>
          </w:tcPr>
          <w:p w14:paraId="3461F625" w14:textId="77777777" w:rsidR="00313057" w:rsidRDefault="00313057">
            <w:pPr>
              <w:jc w:val="right"/>
              <w:rPr>
                <w:rFonts w:ascii="Calibri Light" w:hAnsi="Calibri Light" w:cs="Arial"/>
                <w:b/>
                <w:bCs/>
                <w:sz w:val="22"/>
                <w:szCs w:val="22"/>
              </w:rPr>
            </w:pPr>
          </w:p>
        </w:tc>
        <w:tc>
          <w:tcPr>
            <w:tcW w:w="1540" w:type="dxa"/>
            <w:tcBorders>
              <w:top w:val="nil"/>
              <w:left w:val="nil"/>
              <w:bottom w:val="single" w:sz="4" w:space="0" w:color="auto"/>
              <w:right w:val="nil"/>
            </w:tcBorders>
            <w:shd w:val="clear" w:color="auto" w:fill="auto"/>
            <w:noWrap/>
            <w:vAlign w:val="bottom"/>
            <w:hideMark/>
          </w:tcPr>
          <w:p w14:paraId="2D2CBD83" w14:textId="77777777" w:rsidR="00313057" w:rsidRDefault="00313057">
            <w:pPr>
              <w:jc w:val="right"/>
              <w:rPr>
                <w:rFonts w:ascii="Calibri Light" w:hAnsi="Calibri Light" w:cs="Arial"/>
                <w:b/>
                <w:bCs/>
                <w:sz w:val="22"/>
                <w:szCs w:val="22"/>
              </w:rPr>
            </w:pPr>
            <w:r>
              <w:rPr>
                <w:rFonts w:ascii="Calibri Light" w:hAnsi="Calibri Light" w:cs="Arial"/>
                <w:b/>
                <w:bCs/>
                <w:sz w:val="22"/>
                <w:szCs w:val="22"/>
              </w:rPr>
              <w:t>31 December</w:t>
            </w:r>
          </w:p>
        </w:tc>
      </w:tr>
      <w:tr w:rsidR="00313057" w14:paraId="69E7EE60" w14:textId="77777777" w:rsidTr="00313057">
        <w:trPr>
          <w:trHeight w:val="300"/>
        </w:trPr>
        <w:tc>
          <w:tcPr>
            <w:tcW w:w="4920" w:type="dxa"/>
            <w:tcBorders>
              <w:top w:val="nil"/>
              <w:left w:val="nil"/>
              <w:bottom w:val="nil"/>
              <w:right w:val="nil"/>
            </w:tcBorders>
            <w:shd w:val="clear" w:color="auto" w:fill="auto"/>
            <w:noWrap/>
            <w:vAlign w:val="bottom"/>
            <w:hideMark/>
          </w:tcPr>
          <w:p w14:paraId="49B02ED3" w14:textId="77777777" w:rsidR="00313057" w:rsidRDefault="00313057">
            <w:pPr>
              <w:jc w:val="right"/>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07012C66" w14:textId="77777777" w:rsidR="00313057" w:rsidRDefault="00313057">
            <w:pPr>
              <w:rPr>
                <w:sz w:val="20"/>
                <w:szCs w:val="20"/>
              </w:rPr>
            </w:pPr>
          </w:p>
        </w:tc>
        <w:tc>
          <w:tcPr>
            <w:tcW w:w="1540" w:type="dxa"/>
            <w:tcBorders>
              <w:top w:val="nil"/>
              <w:left w:val="nil"/>
              <w:bottom w:val="nil"/>
              <w:right w:val="nil"/>
            </w:tcBorders>
            <w:shd w:val="clear" w:color="auto" w:fill="auto"/>
            <w:noWrap/>
            <w:vAlign w:val="bottom"/>
            <w:hideMark/>
          </w:tcPr>
          <w:p w14:paraId="5310ED11" w14:textId="77777777" w:rsidR="00313057" w:rsidRDefault="00313057">
            <w:pPr>
              <w:jc w:val="right"/>
              <w:rPr>
                <w:rFonts w:ascii="Calibri Light" w:hAnsi="Calibri Light" w:cs="Arial"/>
                <w:sz w:val="22"/>
                <w:szCs w:val="22"/>
              </w:rPr>
            </w:pPr>
            <w:r>
              <w:rPr>
                <w:rFonts w:ascii="Calibri Light" w:hAnsi="Calibri Light" w:cs="Arial"/>
                <w:sz w:val="22"/>
                <w:szCs w:val="22"/>
              </w:rPr>
              <w:t>2022</w:t>
            </w:r>
          </w:p>
        </w:tc>
        <w:tc>
          <w:tcPr>
            <w:tcW w:w="180" w:type="dxa"/>
            <w:tcBorders>
              <w:top w:val="nil"/>
              <w:left w:val="nil"/>
              <w:bottom w:val="nil"/>
              <w:right w:val="nil"/>
            </w:tcBorders>
            <w:shd w:val="clear" w:color="auto" w:fill="auto"/>
            <w:noWrap/>
            <w:vAlign w:val="bottom"/>
            <w:hideMark/>
          </w:tcPr>
          <w:p w14:paraId="4B637EDD" w14:textId="77777777" w:rsidR="00313057" w:rsidRDefault="00313057">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4306CE62" w14:textId="77777777" w:rsidR="00313057" w:rsidRDefault="00313057">
            <w:pPr>
              <w:jc w:val="right"/>
              <w:rPr>
                <w:rFonts w:ascii="Calibri Light" w:hAnsi="Calibri Light" w:cs="Arial"/>
                <w:sz w:val="22"/>
                <w:szCs w:val="22"/>
              </w:rPr>
            </w:pPr>
            <w:r>
              <w:rPr>
                <w:rFonts w:ascii="Calibri Light" w:hAnsi="Calibri Light" w:cs="Arial"/>
                <w:sz w:val="22"/>
                <w:szCs w:val="22"/>
              </w:rPr>
              <w:t>2021</w:t>
            </w:r>
          </w:p>
        </w:tc>
        <w:tc>
          <w:tcPr>
            <w:tcW w:w="180" w:type="dxa"/>
            <w:tcBorders>
              <w:top w:val="nil"/>
              <w:left w:val="nil"/>
              <w:bottom w:val="nil"/>
              <w:right w:val="nil"/>
            </w:tcBorders>
            <w:shd w:val="clear" w:color="auto" w:fill="auto"/>
            <w:noWrap/>
            <w:vAlign w:val="bottom"/>
            <w:hideMark/>
          </w:tcPr>
          <w:p w14:paraId="7728673B" w14:textId="77777777" w:rsidR="00313057" w:rsidRDefault="00313057">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40D3645" w14:textId="77777777" w:rsidR="00313057" w:rsidRDefault="00313057">
            <w:pPr>
              <w:jc w:val="right"/>
              <w:rPr>
                <w:rFonts w:ascii="Calibri Light" w:hAnsi="Calibri Light" w:cs="Arial"/>
                <w:sz w:val="22"/>
                <w:szCs w:val="22"/>
              </w:rPr>
            </w:pPr>
            <w:r>
              <w:rPr>
                <w:rFonts w:ascii="Calibri Light" w:hAnsi="Calibri Light" w:cs="Arial"/>
                <w:sz w:val="22"/>
                <w:szCs w:val="22"/>
              </w:rPr>
              <w:t>2021</w:t>
            </w:r>
          </w:p>
        </w:tc>
      </w:tr>
      <w:tr w:rsidR="00313057" w14:paraId="17FEA4F1" w14:textId="77777777" w:rsidTr="00313057">
        <w:trPr>
          <w:trHeight w:val="300"/>
        </w:trPr>
        <w:tc>
          <w:tcPr>
            <w:tcW w:w="4920" w:type="dxa"/>
            <w:tcBorders>
              <w:top w:val="nil"/>
              <w:left w:val="nil"/>
              <w:bottom w:val="nil"/>
              <w:right w:val="nil"/>
            </w:tcBorders>
            <w:shd w:val="clear" w:color="auto" w:fill="auto"/>
            <w:noWrap/>
            <w:vAlign w:val="bottom"/>
            <w:hideMark/>
          </w:tcPr>
          <w:p w14:paraId="01B0B5A4" w14:textId="77777777" w:rsidR="00313057" w:rsidRDefault="00313057">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7335031B" w14:textId="77777777" w:rsidR="00313057" w:rsidRDefault="00313057">
            <w:pPr>
              <w:rPr>
                <w:sz w:val="20"/>
                <w:szCs w:val="20"/>
              </w:rPr>
            </w:pPr>
          </w:p>
        </w:tc>
        <w:tc>
          <w:tcPr>
            <w:tcW w:w="1540" w:type="dxa"/>
            <w:tcBorders>
              <w:top w:val="nil"/>
              <w:left w:val="nil"/>
              <w:bottom w:val="nil"/>
              <w:right w:val="nil"/>
            </w:tcBorders>
            <w:shd w:val="clear" w:color="auto" w:fill="auto"/>
            <w:noWrap/>
            <w:vAlign w:val="bottom"/>
            <w:hideMark/>
          </w:tcPr>
          <w:p w14:paraId="53C51B4B" w14:textId="77777777" w:rsidR="00313057" w:rsidRDefault="00313057">
            <w:pPr>
              <w:jc w:val="right"/>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4BB50029" w14:textId="77777777" w:rsidR="00313057" w:rsidRDefault="00313057">
            <w:pPr>
              <w:jc w:val="right"/>
              <w:rPr>
                <w:rFonts w:ascii="Calibri Light" w:hAnsi="Calibri Light" w:cs="Arial"/>
                <w:i/>
                <w:iCs/>
                <w:sz w:val="22"/>
                <w:szCs w:val="22"/>
              </w:rPr>
            </w:pPr>
          </w:p>
        </w:tc>
        <w:tc>
          <w:tcPr>
            <w:tcW w:w="1480" w:type="dxa"/>
            <w:tcBorders>
              <w:top w:val="nil"/>
              <w:left w:val="nil"/>
              <w:bottom w:val="nil"/>
              <w:right w:val="nil"/>
            </w:tcBorders>
            <w:shd w:val="clear" w:color="auto" w:fill="auto"/>
            <w:noWrap/>
            <w:vAlign w:val="bottom"/>
            <w:hideMark/>
          </w:tcPr>
          <w:p w14:paraId="79D3FEA8" w14:textId="77777777" w:rsidR="00313057" w:rsidRDefault="00313057">
            <w:pPr>
              <w:jc w:val="right"/>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54DD6419" w14:textId="77777777" w:rsidR="00313057" w:rsidRDefault="00313057">
            <w:pPr>
              <w:jc w:val="right"/>
              <w:rPr>
                <w:rFonts w:ascii="Calibri Light" w:hAnsi="Calibri Light" w:cs="Arial"/>
                <w:i/>
                <w:iCs/>
                <w:sz w:val="22"/>
                <w:szCs w:val="22"/>
              </w:rPr>
            </w:pPr>
          </w:p>
        </w:tc>
        <w:tc>
          <w:tcPr>
            <w:tcW w:w="1540" w:type="dxa"/>
            <w:tcBorders>
              <w:top w:val="nil"/>
              <w:left w:val="nil"/>
              <w:bottom w:val="nil"/>
              <w:right w:val="nil"/>
            </w:tcBorders>
            <w:shd w:val="clear" w:color="auto" w:fill="auto"/>
            <w:noWrap/>
            <w:vAlign w:val="bottom"/>
            <w:hideMark/>
          </w:tcPr>
          <w:p w14:paraId="4C55F0AB" w14:textId="77777777" w:rsidR="00313057" w:rsidRDefault="00313057">
            <w:pPr>
              <w:jc w:val="right"/>
              <w:rPr>
                <w:rFonts w:ascii="Calibri Light" w:hAnsi="Calibri Light" w:cs="Arial"/>
                <w:i/>
                <w:iCs/>
                <w:sz w:val="22"/>
                <w:szCs w:val="22"/>
              </w:rPr>
            </w:pPr>
            <w:r>
              <w:rPr>
                <w:rFonts w:ascii="Calibri Light" w:hAnsi="Calibri Light" w:cs="Arial"/>
                <w:i/>
                <w:iCs/>
                <w:sz w:val="22"/>
                <w:szCs w:val="22"/>
              </w:rPr>
              <w:t>(audited)</w:t>
            </w:r>
          </w:p>
        </w:tc>
      </w:tr>
      <w:tr w:rsidR="00313057" w14:paraId="6B71EB32" w14:textId="77777777" w:rsidTr="00313057">
        <w:trPr>
          <w:trHeight w:val="300"/>
        </w:trPr>
        <w:tc>
          <w:tcPr>
            <w:tcW w:w="4920" w:type="dxa"/>
            <w:tcBorders>
              <w:top w:val="nil"/>
              <w:left w:val="nil"/>
              <w:bottom w:val="nil"/>
              <w:right w:val="nil"/>
            </w:tcBorders>
            <w:shd w:val="clear" w:color="auto" w:fill="auto"/>
            <w:noWrap/>
            <w:vAlign w:val="bottom"/>
            <w:hideMark/>
          </w:tcPr>
          <w:p w14:paraId="1F0A7CB5" w14:textId="77777777" w:rsidR="00313057" w:rsidRDefault="00313057">
            <w:pPr>
              <w:rPr>
                <w:rFonts w:ascii="Calibri Light" w:hAnsi="Calibri Light" w:cs="Arial"/>
                <w:b/>
                <w:bCs/>
                <w:sz w:val="22"/>
                <w:szCs w:val="22"/>
              </w:rPr>
            </w:pPr>
            <w:r>
              <w:rPr>
                <w:rFonts w:ascii="Calibri Light" w:hAnsi="Calibri Light" w:cs="Arial"/>
                <w:b/>
                <w:bCs/>
                <w:sz w:val="22"/>
                <w:szCs w:val="22"/>
              </w:rPr>
              <w:t>Basic and diluted</w:t>
            </w:r>
          </w:p>
        </w:tc>
        <w:tc>
          <w:tcPr>
            <w:tcW w:w="180" w:type="dxa"/>
            <w:tcBorders>
              <w:top w:val="nil"/>
              <w:left w:val="nil"/>
              <w:bottom w:val="nil"/>
              <w:right w:val="nil"/>
            </w:tcBorders>
            <w:shd w:val="clear" w:color="auto" w:fill="auto"/>
            <w:noWrap/>
            <w:vAlign w:val="bottom"/>
            <w:hideMark/>
          </w:tcPr>
          <w:p w14:paraId="705EE658" w14:textId="77777777" w:rsidR="00313057" w:rsidRDefault="00313057">
            <w:pPr>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03B7BFD3" w14:textId="77777777" w:rsidR="00313057" w:rsidRDefault="00313057">
            <w:pPr>
              <w:rPr>
                <w:sz w:val="20"/>
                <w:szCs w:val="20"/>
              </w:rPr>
            </w:pPr>
          </w:p>
        </w:tc>
        <w:tc>
          <w:tcPr>
            <w:tcW w:w="180" w:type="dxa"/>
            <w:tcBorders>
              <w:top w:val="nil"/>
              <w:left w:val="nil"/>
              <w:bottom w:val="nil"/>
              <w:right w:val="nil"/>
            </w:tcBorders>
            <w:shd w:val="clear" w:color="auto" w:fill="auto"/>
            <w:noWrap/>
            <w:vAlign w:val="bottom"/>
            <w:hideMark/>
          </w:tcPr>
          <w:p w14:paraId="3B46ACE3" w14:textId="77777777" w:rsidR="00313057" w:rsidRDefault="00313057">
            <w:pPr>
              <w:jc w:val="right"/>
              <w:rPr>
                <w:sz w:val="20"/>
                <w:szCs w:val="20"/>
              </w:rPr>
            </w:pPr>
          </w:p>
        </w:tc>
        <w:tc>
          <w:tcPr>
            <w:tcW w:w="1480" w:type="dxa"/>
            <w:tcBorders>
              <w:top w:val="nil"/>
              <w:left w:val="nil"/>
              <w:bottom w:val="nil"/>
              <w:right w:val="nil"/>
            </w:tcBorders>
            <w:shd w:val="clear" w:color="auto" w:fill="auto"/>
            <w:noWrap/>
            <w:vAlign w:val="bottom"/>
            <w:hideMark/>
          </w:tcPr>
          <w:p w14:paraId="216352E3" w14:textId="77777777" w:rsidR="00313057" w:rsidRDefault="00313057">
            <w:pPr>
              <w:jc w:val="right"/>
              <w:rPr>
                <w:sz w:val="20"/>
                <w:szCs w:val="20"/>
              </w:rPr>
            </w:pPr>
          </w:p>
        </w:tc>
        <w:tc>
          <w:tcPr>
            <w:tcW w:w="180" w:type="dxa"/>
            <w:tcBorders>
              <w:top w:val="nil"/>
              <w:left w:val="nil"/>
              <w:bottom w:val="nil"/>
              <w:right w:val="nil"/>
            </w:tcBorders>
            <w:shd w:val="clear" w:color="auto" w:fill="auto"/>
            <w:noWrap/>
            <w:vAlign w:val="bottom"/>
            <w:hideMark/>
          </w:tcPr>
          <w:p w14:paraId="7A6FA0CF" w14:textId="77777777" w:rsidR="00313057" w:rsidRDefault="00313057">
            <w:pPr>
              <w:jc w:val="right"/>
              <w:rPr>
                <w:sz w:val="20"/>
                <w:szCs w:val="20"/>
              </w:rPr>
            </w:pPr>
          </w:p>
        </w:tc>
        <w:tc>
          <w:tcPr>
            <w:tcW w:w="1540" w:type="dxa"/>
            <w:tcBorders>
              <w:top w:val="nil"/>
              <w:left w:val="nil"/>
              <w:bottom w:val="nil"/>
              <w:right w:val="nil"/>
            </w:tcBorders>
            <w:shd w:val="clear" w:color="auto" w:fill="auto"/>
            <w:noWrap/>
            <w:vAlign w:val="bottom"/>
            <w:hideMark/>
          </w:tcPr>
          <w:p w14:paraId="277916F1" w14:textId="77777777" w:rsidR="00313057" w:rsidRDefault="00313057">
            <w:pPr>
              <w:jc w:val="right"/>
              <w:rPr>
                <w:sz w:val="20"/>
                <w:szCs w:val="20"/>
              </w:rPr>
            </w:pPr>
          </w:p>
        </w:tc>
      </w:tr>
      <w:tr w:rsidR="00313057" w14:paraId="1855E41F" w14:textId="77777777" w:rsidTr="00313057">
        <w:trPr>
          <w:trHeight w:val="300"/>
        </w:trPr>
        <w:tc>
          <w:tcPr>
            <w:tcW w:w="4920" w:type="dxa"/>
            <w:tcBorders>
              <w:top w:val="nil"/>
              <w:left w:val="nil"/>
              <w:bottom w:val="nil"/>
              <w:right w:val="nil"/>
            </w:tcBorders>
            <w:shd w:val="clear" w:color="auto" w:fill="auto"/>
            <w:noWrap/>
            <w:vAlign w:val="bottom"/>
            <w:hideMark/>
          </w:tcPr>
          <w:p w14:paraId="0C58E097" w14:textId="59188C30" w:rsidR="00313057" w:rsidRDefault="001A5468">
            <w:pPr>
              <w:rPr>
                <w:rFonts w:ascii="Calibri Light" w:hAnsi="Calibri Light" w:cs="Arial"/>
                <w:sz w:val="22"/>
                <w:szCs w:val="22"/>
              </w:rPr>
            </w:pPr>
            <w:r>
              <w:rPr>
                <w:rFonts w:ascii="Calibri Light" w:hAnsi="Calibri Light" w:cs="Arial"/>
                <w:sz w:val="22"/>
                <w:szCs w:val="22"/>
              </w:rPr>
              <w:t>P</w:t>
            </w:r>
            <w:r w:rsidR="00313057">
              <w:rPr>
                <w:rFonts w:ascii="Calibri Light" w:hAnsi="Calibri Light" w:cs="Arial"/>
                <w:sz w:val="22"/>
                <w:szCs w:val="22"/>
              </w:rPr>
              <w:t xml:space="preserve">rofit for the financial period </w:t>
            </w:r>
          </w:p>
        </w:tc>
        <w:tc>
          <w:tcPr>
            <w:tcW w:w="180" w:type="dxa"/>
            <w:tcBorders>
              <w:top w:val="nil"/>
              <w:left w:val="nil"/>
              <w:bottom w:val="nil"/>
              <w:right w:val="nil"/>
            </w:tcBorders>
            <w:shd w:val="clear" w:color="auto" w:fill="auto"/>
            <w:noWrap/>
            <w:vAlign w:val="bottom"/>
            <w:hideMark/>
          </w:tcPr>
          <w:p w14:paraId="48ACCB69" w14:textId="77777777" w:rsidR="00313057" w:rsidRDefault="00313057">
            <w:pPr>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28044AB8" w14:textId="1DC6E4BB" w:rsidR="00313057" w:rsidRDefault="001A5468" w:rsidP="00313057">
            <w:pPr>
              <w:jc w:val="right"/>
              <w:rPr>
                <w:rFonts w:ascii="Calibri Light" w:hAnsi="Calibri Light" w:cs="Arial"/>
                <w:sz w:val="22"/>
                <w:szCs w:val="22"/>
              </w:rPr>
            </w:pPr>
            <w:r w:rsidRPr="001A5468">
              <w:rPr>
                <w:rFonts w:ascii="Calibri Light" w:hAnsi="Calibri Light" w:cs="Arial"/>
                <w:sz w:val="22"/>
                <w:szCs w:val="22"/>
              </w:rPr>
              <w:t>5,120,408</w:t>
            </w:r>
          </w:p>
        </w:tc>
        <w:tc>
          <w:tcPr>
            <w:tcW w:w="180" w:type="dxa"/>
            <w:tcBorders>
              <w:top w:val="nil"/>
              <w:left w:val="nil"/>
              <w:bottom w:val="nil"/>
              <w:right w:val="nil"/>
            </w:tcBorders>
            <w:shd w:val="clear" w:color="auto" w:fill="auto"/>
            <w:noWrap/>
            <w:vAlign w:val="bottom"/>
            <w:hideMark/>
          </w:tcPr>
          <w:p w14:paraId="47B34AF0" w14:textId="77777777" w:rsidR="00313057" w:rsidRDefault="00313057" w:rsidP="00313057">
            <w:pPr>
              <w:jc w:val="right"/>
              <w:rPr>
                <w:rFonts w:ascii="Calibri Light" w:hAnsi="Calibri Light" w:cs="Arial"/>
                <w:sz w:val="22"/>
                <w:szCs w:val="22"/>
              </w:rPr>
            </w:pPr>
          </w:p>
        </w:tc>
        <w:tc>
          <w:tcPr>
            <w:tcW w:w="1480" w:type="dxa"/>
            <w:tcBorders>
              <w:top w:val="nil"/>
              <w:left w:val="nil"/>
              <w:bottom w:val="single" w:sz="4" w:space="0" w:color="auto"/>
              <w:right w:val="nil"/>
            </w:tcBorders>
            <w:shd w:val="clear" w:color="auto" w:fill="auto"/>
            <w:noWrap/>
            <w:vAlign w:val="bottom"/>
            <w:hideMark/>
          </w:tcPr>
          <w:p w14:paraId="444EA7B6"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129,356</w:t>
            </w:r>
          </w:p>
        </w:tc>
        <w:tc>
          <w:tcPr>
            <w:tcW w:w="180" w:type="dxa"/>
            <w:tcBorders>
              <w:top w:val="nil"/>
              <w:left w:val="nil"/>
              <w:bottom w:val="nil"/>
              <w:right w:val="nil"/>
            </w:tcBorders>
            <w:shd w:val="clear" w:color="auto" w:fill="auto"/>
            <w:noWrap/>
            <w:vAlign w:val="bottom"/>
            <w:hideMark/>
          </w:tcPr>
          <w:p w14:paraId="1884D8BF" w14:textId="77777777" w:rsidR="00313057" w:rsidRDefault="00313057" w:rsidP="00313057">
            <w:pPr>
              <w:jc w:val="right"/>
              <w:rPr>
                <w:rFonts w:ascii="Calibri Light" w:hAnsi="Calibri Light" w:cs="Arial"/>
                <w:sz w:val="22"/>
                <w:szCs w:val="22"/>
              </w:rPr>
            </w:pPr>
          </w:p>
        </w:tc>
        <w:tc>
          <w:tcPr>
            <w:tcW w:w="1540" w:type="dxa"/>
            <w:tcBorders>
              <w:top w:val="nil"/>
              <w:left w:val="nil"/>
              <w:bottom w:val="single" w:sz="4" w:space="0" w:color="auto"/>
              <w:right w:val="nil"/>
            </w:tcBorders>
            <w:shd w:val="clear" w:color="auto" w:fill="auto"/>
            <w:noWrap/>
            <w:vAlign w:val="bottom"/>
            <w:hideMark/>
          </w:tcPr>
          <w:p w14:paraId="3B7BD2E1" w14:textId="16619D0D" w:rsidR="00313057" w:rsidRDefault="00313057" w:rsidP="00313057">
            <w:pPr>
              <w:rPr>
                <w:rFonts w:ascii="Calibri Light" w:hAnsi="Calibri Light" w:cs="Arial"/>
                <w:sz w:val="22"/>
                <w:szCs w:val="22"/>
              </w:rPr>
            </w:pPr>
            <w:r>
              <w:rPr>
                <w:rFonts w:ascii="Calibri Light" w:hAnsi="Calibri Light" w:cs="Arial"/>
                <w:sz w:val="22"/>
                <w:szCs w:val="22"/>
              </w:rPr>
              <w:t xml:space="preserve">        2,259,796 </w:t>
            </w:r>
          </w:p>
        </w:tc>
      </w:tr>
      <w:tr w:rsidR="00313057" w14:paraId="49212875" w14:textId="77777777" w:rsidTr="00313057">
        <w:trPr>
          <w:trHeight w:val="300"/>
        </w:trPr>
        <w:tc>
          <w:tcPr>
            <w:tcW w:w="4920" w:type="dxa"/>
            <w:tcBorders>
              <w:top w:val="nil"/>
              <w:left w:val="nil"/>
              <w:bottom w:val="nil"/>
              <w:right w:val="nil"/>
            </w:tcBorders>
            <w:shd w:val="clear" w:color="auto" w:fill="auto"/>
            <w:noWrap/>
            <w:vAlign w:val="bottom"/>
            <w:hideMark/>
          </w:tcPr>
          <w:p w14:paraId="321D3FB2" w14:textId="77777777" w:rsidR="00313057" w:rsidRDefault="00313057">
            <w:pPr>
              <w:rPr>
                <w:rFonts w:ascii="Calibri Light" w:hAnsi="Calibri Light" w:cs="Arial"/>
                <w:sz w:val="22"/>
                <w:szCs w:val="22"/>
              </w:rPr>
            </w:pPr>
            <w:r>
              <w:rPr>
                <w:rFonts w:ascii="Calibri Light" w:hAnsi="Calibri Light" w:cs="Arial"/>
                <w:sz w:val="22"/>
                <w:szCs w:val="22"/>
              </w:rPr>
              <w:t>Weighted average number of shares for basic EPS</w:t>
            </w:r>
          </w:p>
        </w:tc>
        <w:tc>
          <w:tcPr>
            <w:tcW w:w="180" w:type="dxa"/>
            <w:tcBorders>
              <w:top w:val="nil"/>
              <w:left w:val="nil"/>
              <w:bottom w:val="nil"/>
              <w:right w:val="nil"/>
            </w:tcBorders>
            <w:shd w:val="clear" w:color="auto" w:fill="auto"/>
            <w:noWrap/>
            <w:vAlign w:val="bottom"/>
            <w:hideMark/>
          </w:tcPr>
          <w:p w14:paraId="27215F9D" w14:textId="77777777" w:rsidR="00313057" w:rsidRDefault="00313057">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65DDC9B" w14:textId="705F3C0E" w:rsidR="00313057" w:rsidRDefault="00313057" w:rsidP="003D70FC">
            <w:pPr>
              <w:jc w:val="right"/>
              <w:rPr>
                <w:rFonts w:ascii="Calibri Light" w:hAnsi="Calibri Light" w:cs="Arial"/>
                <w:sz w:val="22"/>
                <w:szCs w:val="22"/>
              </w:rPr>
            </w:pPr>
            <w:r>
              <w:rPr>
                <w:rFonts w:ascii="Calibri Light" w:hAnsi="Calibri Light" w:cs="Arial"/>
                <w:sz w:val="22"/>
                <w:szCs w:val="22"/>
              </w:rPr>
              <w:t xml:space="preserve">   228,138,764 </w:t>
            </w:r>
          </w:p>
        </w:tc>
        <w:tc>
          <w:tcPr>
            <w:tcW w:w="180" w:type="dxa"/>
            <w:tcBorders>
              <w:top w:val="nil"/>
              <w:left w:val="nil"/>
              <w:bottom w:val="nil"/>
              <w:right w:val="nil"/>
            </w:tcBorders>
            <w:shd w:val="clear" w:color="auto" w:fill="auto"/>
            <w:noWrap/>
            <w:vAlign w:val="bottom"/>
            <w:hideMark/>
          </w:tcPr>
          <w:p w14:paraId="19E50698" w14:textId="77777777" w:rsidR="00313057" w:rsidRDefault="00313057" w:rsidP="003D70FC">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023AB85C" w14:textId="77777777" w:rsidR="00313057" w:rsidRDefault="00313057" w:rsidP="003D70FC">
            <w:pPr>
              <w:jc w:val="right"/>
              <w:rPr>
                <w:rFonts w:ascii="Calibri Light" w:hAnsi="Calibri Light" w:cs="Arial"/>
                <w:sz w:val="22"/>
                <w:szCs w:val="22"/>
              </w:rPr>
            </w:pPr>
            <w:r>
              <w:rPr>
                <w:rFonts w:ascii="Calibri Light" w:hAnsi="Calibri Light" w:cs="Arial"/>
                <w:sz w:val="22"/>
                <w:szCs w:val="22"/>
              </w:rPr>
              <w:t xml:space="preserve">   116,168,109 </w:t>
            </w:r>
          </w:p>
        </w:tc>
        <w:tc>
          <w:tcPr>
            <w:tcW w:w="180" w:type="dxa"/>
            <w:tcBorders>
              <w:top w:val="nil"/>
              <w:left w:val="nil"/>
              <w:bottom w:val="nil"/>
              <w:right w:val="nil"/>
            </w:tcBorders>
            <w:shd w:val="clear" w:color="auto" w:fill="auto"/>
            <w:noWrap/>
            <w:vAlign w:val="bottom"/>
            <w:hideMark/>
          </w:tcPr>
          <w:p w14:paraId="21BF4B4F" w14:textId="77777777" w:rsidR="00313057" w:rsidRDefault="00313057" w:rsidP="003D70FC">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2B8DDC8" w14:textId="108FD8C7" w:rsidR="00313057" w:rsidRDefault="00313057" w:rsidP="003D70FC">
            <w:pPr>
              <w:jc w:val="right"/>
              <w:rPr>
                <w:rFonts w:ascii="Calibri Light" w:hAnsi="Calibri Light" w:cs="Arial"/>
                <w:sz w:val="22"/>
                <w:szCs w:val="22"/>
              </w:rPr>
            </w:pPr>
            <w:r>
              <w:rPr>
                <w:rFonts w:ascii="Calibri Light" w:hAnsi="Calibri Light" w:cs="Arial"/>
                <w:sz w:val="22"/>
                <w:szCs w:val="22"/>
              </w:rPr>
              <w:t xml:space="preserve">    140,431,111 </w:t>
            </w:r>
          </w:p>
        </w:tc>
      </w:tr>
      <w:tr w:rsidR="00313057" w14:paraId="41FE8252" w14:textId="77777777" w:rsidTr="00313057">
        <w:trPr>
          <w:trHeight w:val="300"/>
        </w:trPr>
        <w:tc>
          <w:tcPr>
            <w:tcW w:w="4920" w:type="dxa"/>
            <w:tcBorders>
              <w:top w:val="nil"/>
              <w:left w:val="nil"/>
              <w:bottom w:val="nil"/>
              <w:right w:val="nil"/>
            </w:tcBorders>
            <w:shd w:val="clear" w:color="auto" w:fill="auto"/>
            <w:noWrap/>
            <w:vAlign w:val="bottom"/>
            <w:hideMark/>
          </w:tcPr>
          <w:p w14:paraId="1819F270" w14:textId="77777777" w:rsidR="00313057" w:rsidRDefault="00313057">
            <w:pPr>
              <w:rPr>
                <w:rFonts w:ascii="Calibri Light" w:hAnsi="Calibri Light" w:cs="Arial"/>
                <w:sz w:val="22"/>
                <w:szCs w:val="22"/>
              </w:rPr>
            </w:pPr>
            <w:r>
              <w:rPr>
                <w:rFonts w:ascii="Calibri Light" w:hAnsi="Calibri Light" w:cs="Arial"/>
                <w:sz w:val="22"/>
                <w:szCs w:val="22"/>
              </w:rPr>
              <w:t>Potentially dilutive share options</w:t>
            </w:r>
          </w:p>
        </w:tc>
        <w:tc>
          <w:tcPr>
            <w:tcW w:w="180" w:type="dxa"/>
            <w:tcBorders>
              <w:top w:val="nil"/>
              <w:left w:val="nil"/>
              <w:bottom w:val="nil"/>
              <w:right w:val="nil"/>
            </w:tcBorders>
            <w:shd w:val="clear" w:color="auto" w:fill="auto"/>
            <w:noWrap/>
            <w:vAlign w:val="bottom"/>
            <w:hideMark/>
          </w:tcPr>
          <w:p w14:paraId="367675AD" w14:textId="77777777" w:rsidR="00313057" w:rsidRDefault="00313057">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798D3028" w14:textId="7241A4DC" w:rsidR="00313057" w:rsidRDefault="00313057" w:rsidP="003D70FC">
            <w:pPr>
              <w:rPr>
                <w:rFonts w:ascii="Calibri Light" w:hAnsi="Calibri Light" w:cs="Arial"/>
                <w:sz w:val="22"/>
                <w:szCs w:val="22"/>
              </w:rPr>
            </w:pPr>
            <w:r>
              <w:rPr>
                <w:rFonts w:ascii="Calibri Light" w:hAnsi="Calibri Light" w:cs="Arial"/>
                <w:sz w:val="22"/>
                <w:szCs w:val="22"/>
              </w:rPr>
              <w:t xml:space="preserve">        </w:t>
            </w:r>
            <w:r w:rsidR="005C5CDC">
              <w:rPr>
                <w:rFonts w:ascii="Calibri Light" w:hAnsi="Calibri Light" w:cs="Arial"/>
                <w:sz w:val="22"/>
                <w:szCs w:val="22"/>
              </w:rPr>
              <w:t>6,</w:t>
            </w:r>
            <w:r w:rsidR="00C3043F">
              <w:rPr>
                <w:rFonts w:ascii="Calibri Light" w:hAnsi="Calibri Light" w:cs="Arial"/>
                <w:sz w:val="22"/>
                <w:szCs w:val="22"/>
              </w:rPr>
              <w:t>807,636</w:t>
            </w:r>
            <w:r>
              <w:rPr>
                <w:rFonts w:ascii="Calibri Light" w:hAnsi="Calibri Light" w:cs="Arial"/>
                <w:sz w:val="22"/>
                <w:szCs w:val="22"/>
              </w:rPr>
              <w:t xml:space="preserve">   </w:t>
            </w:r>
          </w:p>
        </w:tc>
        <w:tc>
          <w:tcPr>
            <w:tcW w:w="180" w:type="dxa"/>
            <w:tcBorders>
              <w:top w:val="nil"/>
              <w:left w:val="nil"/>
              <w:bottom w:val="nil"/>
              <w:right w:val="nil"/>
            </w:tcBorders>
            <w:shd w:val="clear" w:color="auto" w:fill="auto"/>
            <w:noWrap/>
            <w:vAlign w:val="bottom"/>
            <w:hideMark/>
          </w:tcPr>
          <w:p w14:paraId="387D6538" w14:textId="77777777" w:rsidR="00313057" w:rsidRDefault="00313057" w:rsidP="00313057">
            <w:pPr>
              <w:jc w:val="right"/>
              <w:rPr>
                <w:rFonts w:ascii="Calibri Light" w:hAnsi="Calibri Light" w:cs="Arial"/>
                <w:sz w:val="22"/>
                <w:szCs w:val="22"/>
              </w:rPr>
            </w:pPr>
          </w:p>
        </w:tc>
        <w:tc>
          <w:tcPr>
            <w:tcW w:w="1480" w:type="dxa"/>
            <w:tcBorders>
              <w:top w:val="nil"/>
              <w:left w:val="nil"/>
              <w:bottom w:val="nil"/>
              <w:right w:val="nil"/>
            </w:tcBorders>
            <w:shd w:val="clear" w:color="auto" w:fill="auto"/>
            <w:noWrap/>
            <w:vAlign w:val="bottom"/>
            <w:hideMark/>
          </w:tcPr>
          <w:p w14:paraId="3DA0E465" w14:textId="2318C0EC" w:rsidR="00313057" w:rsidRDefault="00313057" w:rsidP="003D70FC">
            <w:pPr>
              <w:rPr>
                <w:rFonts w:ascii="Calibri Light" w:hAnsi="Calibri Light" w:cs="Arial"/>
                <w:sz w:val="22"/>
                <w:szCs w:val="22"/>
              </w:rPr>
            </w:pPr>
            <w:r>
              <w:rPr>
                <w:rFonts w:ascii="Calibri Light" w:hAnsi="Calibri Light" w:cs="Arial"/>
                <w:sz w:val="22"/>
                <w:szCs w:val="22"/>
              </w:rPr>
              <w:t xml:space="preserve">                        -   </w:t>
            </w:r>
          </w:p>
        </w:tc>
        <w:tc>
          <w:tcPr>
            <w:tcW w:w="180" w:type="dxa"/>
            <w:tcBorders>
              <w:top w:val="nil"/>
              <w:left w:val="nil"/>
              <w:bottom w:val="nil"/>
              <w:right w:val="nil"/>
            </w:tcBorders>
            <w:shd w:val="clear" w:color="auto" w:fill="auto"/>
            <w:noWrap/>
            <w:vAlign w:val="bottom"/>
            <w:hideMark/>
          </w:tcPr>
          <w:p w14:paraId="6066C25E" w14:textId="77777777" w:rsidR="00313057" w:rsidRDefault="00313057" w:rsidP="00313057">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13B7B85" w14:textId="2FB7AF05" w:rsidR="00313057" w:rsidRDefault="00313057" w:rsidP="003D70FC">
            <w:pPr>
              <w:rPr>
                <w:rFonts w:ascii="Calibri Light" w:hAnsi="Calibri Light" w:cs="Arial"/>
                <w:sz w:val="22"/>
                <w:szCs w:val="22"/>
              </w:rPr>
            </w:pPr>
            <w:r>
              <w:rPr>
                <w:rFonts w:ascii="Calibri Light" w:hAnsi="Calibri Light" w:cs="Arial"/>
                <w:sz w:val="22"/>
                <w:szCs w:val="22"/>
              </w:rPr>
              <w:t xml:space="preserve">            200,265 </w:t>
            </w:r>
          </w:p>
        </w:tc>
      </w:tr>
      <w:tr w:rsidR="00313057" w14:paraId="04DD9E5A" w14:textId="77777777" w:rsidTr="00313057">
        <w:trPr>
          <w:trHeight w:val="315"/>
        </w:trPr>
        <w:tc>
          <w:tcPr>
            <w:tcW w:w="4920" w:type="dxa"/>
            <w:tcBorders>
              <w:top w:val="nil"/>
              <w:left w:val="nil"/>
              <w:bottom w:val="nil"/>
              <w:right w:val="nil"/>
            </w:tcBorders>
            <w:shd w:val="clear" w:color="auto" w:fill="auto"/>
            <w:noWrap/>
            <w:vAlign w:val="bottom"/>
            <w:hideMark/>
          </w:tcPr>
          <w:p w14:paraId="5BDA57EF" w14:textId="77777777" w:rsidR="00313057" w:rsidRDefault="00313057">
            <w:pPr>
              <w:rPr>
                <w:rFonts w:ascii="Calibri Light" w:hAnsi="Calibri Light" w:cs="Arial"/>
                <w:sz w:val="22"/>
                <w:szCs w:val="22"/>
              </w:rPr>
            </w:pPr>
            <w:r>
              <w:rPr>
                <w:rFonts w:ascii="Calibri Light" w:hAnsi="Calibri Light" w:cs="Arial"/>
                <w:sz w:val="22"/>
                <w:szCs w:val="22"/>
              </w:rPr>
              <w:t>Weighted average number of shares for diluted EPS</w:t>
            </w:r>
          </w:p>
        </w:tc>
        <w:tc>
          <w:tcPr>
            <w:tcW w:w="180" w:type="dxa"/>
            <w:tcBorders>
              <w:top w:val="nil"/>
              <w:left w:val="nil"/>
              <w:bottom w:val="nil"/>
              <w:right w:val="nil"/>
            </w:tcBorders>
            <w:shd w:val="clear" w:color="auto" w:fill="auto"/>
            <w:noWrap/>
            <w:vAlign w:val="bottom"/>
            <w:hideMark/>
          </w:tcPr>
          <w:p w14:paraId="626C44FD" w14:textId="77777777" w:rsidR="00313057" w:rsidRDefault="00313057">
            <w:pPr>
              <w:rPr>
                <w:rFonts w:ascii="Calibri Light" w:hAnsi="Calibri Light" w:cs="Arial"/>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6E9F7D97" w14:textId="5B5E7E56" w:rsidR="00313057" w:rsidRDefault="00313057" w:rsidP="00500742">
            <w:pPr>
              <w:rPr>
                <w:rFonts w:ascii="Calibri Light" w:hAnsi="Calibri Light" w:cs="Arial"/>
                <w:sz w:val="22"/>
                <w:szCs w:val="22"/>
              </w:rPr>
            </w:pPr>
            <w:r>
              <w:rPr>
                <w:rFonts w:ascii="Calibri Light" w:hAnsi="Calibri Light" w:cs="Arial"/>
                <w:sz w:val="22"/>
                <w:szCs w:val="22"/>
              </w:rPr>
              <w:t xml:space="preserve">    2</w:t>
            </w:r>
            <w:r w:rsidR="003B7852">
              <w:rPr>
                <w:rFonts w:ascii="Calibri Light" w:hAnsi="Calibri Light" w:cs="Arial"/>
                <w:sz w:val="22"/>
                <w:szCs w:val="22"/>
              </w:rPr>
              <w:t>34,946,400</w:t>
            </w:r>
            <w:r>
              <w:rPr>
                <w:rFonts w:ascii="Calibri Light" w:hAnsi="Calibri Light" w:cs="Arial"/>
                <w:sz w:val="22"/>
                <w:szCs w:val="22"/>
              </w:rPr>
              <w:t xml:space="preserve"> </w:t>
            </w:r>
          </w:p>
        </w:tc>
        <w:tc>
          <w:tcPr>
            <w:tcW w:w="180" w:type="dxa"/>
            <w:tcBorders>
              <w:top w:val="nil"/>
              <w:left w:val="nil"/>
              <w:bottom w:val="nil"/>
              <w:right w:val="nil"/>
            </w:tcBorders>
            <w:shd w:val="clear" w:color="auto" w:fill="auto"/>
            <w:noWrap/>
            <w:vAlign w:val="bottom"/>
            <w:hideMark/>
          </w:tcPr>
          <w:p w14:paraId="77A20855" w14:textId="77777777" w:rsidR="00313057" w:rsidRDefault="00313057" w:rsidP="00313057">
            <w:pPr>
              <w:jc w:val="right"/>
              <w:rPr>
                <w:rFonts w:ascii="Calibri Light" w:hAnsi="Calibri Light" w:cs="Arial"/>
                <w:sz w:val="22"/>
                <w:szCs w:val="22"/>
              </w:rPr>
            </w:pPr>
          </w:p>
        </w:tc>
        <w:tc>
          <w:tcPr>
            <w:tcW w:w="1480" w:type="dxa"/>
            <w:tcBorders>
              <w:top w:val="single" w:sz="4" w:space="0" w:color="auto"/>
              <w:left w:val="nil"/>
              <w:bottom w:val="double" w:sz="6" w:space="0" w:color="auto"/>
              <w:right w:val="nil"/>
            </w:tcBorders>
            <w:shd w:val="clear" w:color="auto" w:fill="auto"/>
            <w:noWrap/>
            <w:vAlign w:val="bottom"/>
            <w:hideMark/>
          </w:tcPr>
          <w:p w14:paraId="1E269619"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 xml:space="preserve">   116,168,109 </w:t>
            </w:r>
          </w:p>
        </w:tc>
        <w:tc>
          <w:tcPr>
            <w:tcW w:w="180" w:type="dxa"/>
            <w:tcBorders>
              <w:top w:val="nil"/>
              <w:left w:val="nil"/>
              <w:bottom w:val="nil"/>
              <w:right w:val="nil"/>
            </w:tcBorders>
            <w:shd w:val="clear" w:color="auto" w:fill="auto"/>
            <w:noWrap/>
            <w:vAlign w:val="bottom"/>
            <w:hideMark/>
          </w:tcPr>
          <w:p w14:paraId="4959023E" w14:textId="77777777" w:rsidR="00313057" w:rsidRDefault="00313057" w:rsidP="00313057">
            <w:pPr>
              <w:jc w:val="right"/>
              <w:rPr>
                <w:rFonts w:ascii="Calibri Light" w:hAnsi="Calibri Light" w:cs="Arial"/>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76B7D119" w14:textId="14FEFFD3" w:rsidR="00313057" w:rsidRDefault="00313057" w:rsidP="00500742">
            <w:pPr>
              <w:rPr>
                <w:rFonts w:ascii="Calibri Light" w:hAnsi="Calibri Light" w:cs="Arial"/>
                <w:sz w:val="22"/>
                <w:szCs w:val="22"/>
              </w:rPr>
            </w:pPr>
            <w:r>
              <w:rPr>
                <w:rFonts w:ascii="Calibri Light" w:hAnsi="Calibri Light" w:cs="Arial"/>
                <w:sz w:val="22"/>
                <w:szCs w:val="22"/>
              </w:rPr>
              <w:t xml:space="preserve">    140,631,376 </w:t>
            </w:r>
          </w:p>
        </w:tc>
      </w:tr>
      <w:tr w:rsidR="00313057" w14:paraId="5E35E528" w14:textId="77777777" w:rsidTr="00313057">
        <w:trPr>
          <w:trHeight w:val="315"/>
        </w:trPr>
        <w:tc>
          <w:tcPr>
            <w:tcW w:w="4920" w:type="dxa"/>
            <w:tcBorders>
              <w:top w:val="nil"/>
              <w:left w:val="nil"/>
              <w:bottom w:val="nil"/>
              <w:right w:val="nil"/>
            </w:tcBorders>
            <w:shd w:val="clear" w:color="auto" w:fill="auto"/>
            <w:noWrap/>
            <w:vAlign w:val="bottom"/>
            <w:hideMark/>
          </w:tcPr>
          <w:p w14:paraId="45109652" w14:textId="77777777" w:rsidR="00313057" w:rsidRDefault="00313057">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2863A766" w14:textId="77777777" w:rsidR="00313057" w:rsidRDefault="00313057">
            <w:pPr>
              <w:rPr>
                <w:sz w:val="20"/>
                <w:szCs w:val="20"/>
              </w:rPr>
            </w:pPr>
          </w:p>
        </w:tc>
        <w:tc>
          <w:tcPr>
            <w:tcW w:w="1540" w:type="dxa"/>
            <w:tcBorders>
              <w:top w:val="nil"/>
              <w:left w:val="nil"/>
              <w:bottom w:val="nil"/>
              <w:right w:val="nil"/>
            </w:tcBorders>
            <w:shd w:val="clear" w:color="auto" w:fill="auto"/>
            <w:noWrap/>
            <w:vAlign w:val="bottom"/>
            <w:hideMark/>
          </w:tcPr>
          <w:p w14:paraId="1219C535" w14:textId="77777777" w:rsidR="00313057" w:rsidRDefault="00313057" w:rsidP="00313057">
            <w:pPr>
              <w:jc w:val="right"/>
              <w:rPr>
                <w:sz w:val="20"/>
                <w:szCs w:val="20"/>
              </w:rPr>
            </w:pPr>
          </w:p>
        </w:tc>
        <w:tc>
          <w:tcPr>
            <w:tcW w:w="180" w:type="dxa"/>
            <w:tcBorders>
              <w:top w:val="nil"/>
              <w:left w:val="nil"/>
              <w:bottom w:val="nil"/>
              <w:right w:val="nil"/>
            </w:tcBorders>
            <w:shd w:val="clear" w:color="auto" w:fill="auto"/>
            <w:noWrap/>
            <w:vAlign w:val="bottom"/>
            <w:hideMark/>
          </w:tcPr>
          <w:p w14:paraId="01AF2ADF" w14:textId="77777777" w:rsidR="00313057" w:rsidRDefault="00313057" w:rsidP="00313057">
            <w:pPr>
              <w:jc w:val="right"/>
              <w:rPr>
                <w:sz w:val="20"/>
                <w:szCs w:val="20"/>
              </w:rPr>
            </w:pPr>
          </w:p>
        </w:tc>
        <w:tc>
          <w:tcPr>
            <w:tcW w:w="1480" w:type="dxa"/>
            <w:tcBorders>
              <w:top w:val="nil"/>
              <w:left w:val="nil"/>
              <w:bottom w:val="nil"/>
              <w:right w:val="nil"/>
            </w:tcBorders>
            <w:shd w:val="clear" w:color="auto" w:fill="auto"/>
            <w:noWrap/>
            <w:vAlign w:val="bottom"/>
            <w:hideMark/>
          </w:tcPr>
          <w:p w14:paraId="380C4B5C" w14:textId="77777777" w:rsidR="00313057" w:rsidRDefault="00313057" w:rsidP="00500742">
            <w:pPr>
              <w:rPr>
                <w:sz w:val="20"/>
                <w:szCs w:val="20"/>
              </w:rPr>
            </w:pPr>
          </w:p>
        </w:tc>
        <w:tc>
          <w:tcPr>
            <w:tcW w:w="180" w:type="dxa"/>
            <w:tcBorders>
              <w:top w:val="nil"/>
              <w:left w:val="nil"/>
              <w:bottom w:val="nil"/>
              <w:right w:val="nil"/>
            </w:tcBorders>
            <w:shd w:val="clear" w:color="auto" w:fill="auto"/>
            <w:noWrap/>
            <w:vAlign w:val="bottom"/>
            <w:hideMark/>
          </w:tcPr>
          <w:p w14:paraId="4AB3D18E" w14:textId="77777777" w:rsidR="00313057" w:rsidRDefault="00313057" w:rsidP="00313057">
            <w:pPr>
              <w:jc w:val="right"/>
              <w:rPr>
                <w:sz w:val="20"/>
                <w:szCs w:val="20"/>
              </w:rPr>
            </w:pPr>
          </w:p>
        </w:tc>
        <w:tc>
          <w:tcPr>
            <w:tcW w:w="1540" w:type="dxa"/>
            <w:tcBorders>
              <w:top w:val="nil"/>
              <w:left w:val="nil"/>
              <w:bottom w:val="nil"/>
              <w:right w:val="nil"/>
            </w:tcBorders>
            <w:shd w:val="clear" w:color="auto" w:fill="auto"/>
            <w:noWrap/>
            <w:vAlign w:val="bottom"/>
            <w:hideMark/>
          </w:tcPr>
          <w:p w14:paraId="6F7B09DA" w14:textId="77777777" w:rsidR="00313057" w:rsidRDefault="00313057" w:rsidP="00313057">
            <w:pPr>
              <w:jc w:val="right"/>
              <w:rPr>
                <w:sz w:val="20"/>
                <w:szCs w:val="20"/>
              </w:rPr>
            </w:pPr>
          </w:p>
        </w:tc>
      </w:tr>
      <w:tr w:rsidR="00313057" w14:paraId="22E40BD3" w14:textId="77777777" w:rsidTr="00313057">
        <w:trPr>
          <w:trHeight w:val="315"/>
        </w:trPr>
        <w:tc>
          <w:tcPr>
            <w:tcW w:w="4920" w:type="dxa"/>
            <w:tcBorders>
              <w:top w:val="nil"/>
              <w:left w:val="nil"/>
              <w:bottom w:val="nil"/>
              <w:right w:val="nil"/>
            </w:tcBorders>
            <w:shd w:val="clear" w:color="auto" w:fill="auto"/>
            <w:noWrap/>
            <w:vAlign w:val="bottom"/>
            <w:hideMark/>
          </w:tcPr>
          <w:p w14:paraId="54A51E33" w14:textId="5888B8E6" w:rsidR="00313057" w:rsidRDefault="00313057">
            <w:pPr>
              <w:rPr>
                <w:rFonts w:ascii="Calibri Light" w:hAnsi="Calibri Light" w:cs="Arial"/>
                <w:sz w:val="22"/>
                <w:szCs w:val="22"/>
              </w:rPr>
            </w:pPr>
            <w:r>
              <w:rPr>
                <w:rFonts w:ascii="Calibri Light" w:hAnsi="Calibri Light" w:cs="Arial"/>
                <w:sz w:val="22"/>
                <w:szCs w:val="22"/>
              </w:rPr>
              <w:t>Basic earnings per share</w:t>
            </w:r>
          </w:p>
        </w:tc>
        <w:tc>
          <w:tcPr>
            <w:tcW w:w="180" w:type="dxa"/>
            <w:tcBorders>
              <w:top w:val="nil"/>
              <w:left w:val="nil"/>
              <w:bottom w:val="nil"/>
              <w:right w:val="nil"/>
            </w:tcBorders>
            <w:shd w:val="clear" w:color="auto" w:fill="auto"/>
            <w:noWrap/>
            <w:vAlign w:val="bottom"/>
            <w:hideMark/>
          </w:tcPr>
          <w:p w14:paraId="5D846F3B" w14:textId="77777777" w:rsidR="00313057" w:rsidRDefault="00313057">
            <w:pPr>
              <w:rPr>
                <w:rFonts w:ascii="Calibri Light" w:hAnsi="Calibri Light" w:cs="Arial"/>
                <w:sz w:val="22"/>
                <w:szCs w:val="22"/>
              </w:rPr>
            </w:pPr>
          </w:p>
        </w:tc>
        <w:tc>
          <w:tcPr>
            <w:tcW w:w="1540" w:type="dxa"/>
            <w:tcBorders>
              <w:top w:val="nil"/>
              <w:left w:val="nil"/>
              <w:bottom w:val="double" w:sz="6" w:space="0" w:color="auto"/>
              <w:right w:val="nil"/>
            </w:tcBorders>
            <w:shd w:val="clear" w:color="auto" w:fill="auto"/>
            <w:noWrap/>
            <w:vAlign w:val="bottom"/>
            <w:hideMark/>
          </w:tcPr>
          <w:p w14:paraId="3CAC0912" w14:textId="5321912B" w:rsidR="00313057" w:rsidRDefault="001A5468" w:rsidP="00313057">
            <w:pPr>
              <w:jc w:val="right"/>
              <w:rPr>
                <w:rFonts w:ascii="Calibri Light" w:hAnsi="Calibri Light" w:cs="Arial"/>
                <w:sz w:val="22"/>
                <w:szCs w:val="22"/>
              </w:rPr>
            </w:pPr>
            <w:r>
              <w:rPr>
                <w:rFonts w:ascii="Calibri Light" w:hAnsi="Calibri Light" w:cs="Arial"/>
                <w:sz w:val="22"/>
                <w:szCs w:val="22"/>
              </w:rPr>
              <w:t>2.24p</w:t>
            </w:r>
          </w:p>
        </w:tc>
        <w:tc>
          <w:tcPr>
            <w:tcW w:w="180" w:type="dxa"/>
            <w:tcBorders>
              <w:top w:val="nil"/>
              <w:left w:val="nil"/>
              <w:bottom w:val="nil"/>
              <w:right w:val="nil"/>
            </w:tcBorders>
            <w:shd w:val="clear" w:color="auto" w:fill="auto"/>
            <w:noWrap/>
            <w:vAlign w:val="bottom"/>
            <w:hideMark/>
          </w:tcPr>
          <w:p w14:paraId="2EE4BAD3" w14:textId="77777777" w:rsidR="00313057" w:rsidRDefault="00313057" w:rsidP="00313057">
            <w:pPr>
              <w:jc w:val="right"/>
              <w:rPr>
                <w:rFonts w:ascii="Calibri Light" w:hAnsi="Calibri Light" w:cs="Arial"/>
                <w:sz w:val="22"/>
                <w:szCs w:val="22"/>
              </w:rPr>
            </w:pPr>
          </w:p>
        </w:tc>
        <w:tc>
          <w:tcPr>
            <w:tcW w:w="1480" w:type="dxa"/>
            <w:tcBorders>
              <w:top w:val="nil"/>
              <w:left w:val="nil"/>
              <w:bottom w:val="double" w:sz="6" w:space="0" w:color="auto"/>
              <w:right w:val="nil"/>
            </w:tcBorders>
            <w:shd w:val="clear" w:color="auto" w:fill="auto"/>
            <w:noWrap/>
            <w:vAlign w:val="bottom"/>
            <w:hideMark/>
          </w:tcPr>
          <w:p w14:paraId="17E00ED7"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0.11p</w:t>
            </w:r>
          </w:p>
        </w:tc>
        <w:tc>
          <w:tcPr>
            <w:tcW w:w="180" w:type="dxa"/>
            <w:tcBorders>
              <w:top w:val="nil"/>
              <w:left w:val="nil"/>
              <w:bottom w:val="nil"/>
              <w:right w:val="nil"/>
            </w:tcBorders>
            <w:shd w:val="clear" w:color="auto" w:fill="auto"/>
            <w:noWrap/>
            <w:vAlign w:val="bottom"/>
            <w:hideMark/>
          </w:tcPr>
          <w:p w14:paraId="09A60DF3" w14:textId="77777777" w:rsidR="00313057" w:rsidRDefault="00313057" w:rsidP="00313057">
            <w:pPr>
              <w:jc w:val="right"/>
              <w:rPr>
                <w:rFonts w:ascii="Calibri Light" w:hAnsi="Calibri Light" w:cs="Arial"/>
                <w:sz w:val="22"/>
                <w:szCs w:val="22"/>
              </w:rPr>
            </w:pPr>
          </w:p>
        </w:tc>
        <w:tc>
          <w:tcPr>
            <w:tcW w:w="1540" w:type="dxa"/>
            <w:tcBorders>
              <w:top w:val="nil"/>
              <w:left w:val="nil"/>
              <w:bottom w:val="double" w:sz="6" w:space="0" w:color="auto"/>
              <w:right w:val="nil"/>
            </w:tcBorders>
            <w:shd w:val="clear" w:color="auto" w:fill="auto"/>
            <w:noWrap/>
            <w:vAlign w:val="bottom"/>
            <w:hideMark/>
          </w:tcPr>
          <w:p w14:paraId="4271CD76"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1.61p</w:t>
            </w:r>
          </w:p>
        </w:tc>
      </w:tr>
      <w:tr w:rsidR="00313057" w14:paraId="1CCABDF7" w14:textId="77777777" w:rsidTr="00313057">
        <w:trPr>
          <w:trHeight w:val="120"/>
        </w:trPr>
        <w:tc>
          <w:tcPr>
            <w:tcW w:w="4920" w:type="dxa"/>
            <w:tcBorders>
              <w:top w:val="nil"/>
              <w:left w:val="nil"/>
              <w:bottom w:val="nil"/>
              <w:right w:val="nil"/>
            </w:tcBorders>
            <w:shd w:val="clear" w:color="auto" w:fill="auto"/>
            <w:noWrap/>
            <w:vAlign w:val="bottom"/>
            <w:hideMark/>
          </w:tcPr>
          <w:p w14:paraId="21A65CF8" w14:textId="77777777" w:rsidR="00313057" w:rsidRDefault="00313057">
            <w:pPr>
              <w:jc w:val="right"/>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06495C3B" w14:textId="77777777" w:rsidR="00313057" w:rsidRDefault="00313057">
            <w:pPr>
              <w:rPr>
                <w:sz w:val="20"/>
                <w:szCs w:val="20"/>
              </w:rPr>
            </w:pPr>
          </w:p>
        </w:tc>
        <w:tc>
          <w:tcPr>
            <w:tcW w:w="1540" w:type="dxa"/>
            <w:tcBorders>
              <w:top w:val="nil"/>
              <w:left w:val="nil"/>
              <w:bottom w:val="nil"/>
              <w:right w:val="nil"/>
            </w:tcBorders>
            <w:shd w:val="clear" w:color="auto" w:fill="auto"/>
            <w:noWrap/>
            <w:vAlign w:val="bottom"/>
            <w:hideMark/>
          </w:tcPr>
          <w:p w14:paraId="4763F782" w14:textId="77777777" w:rsidR="00313057" w:rsidRDefault="00313057" w:rsidP="00313057">
            <w:pPr>
              <w:jc w:val="right"/>
              <w:rPr>
                <w:sz w:val="20"/>
                <w:szCs w:val="20"/>
              </w:rPr>
            </w:pPr>
          </w:p>
        </w:tc>
        <w:tc>
          <w:tcPr>
            <w:tcW w:w="180" w:type="dxa"/>
            <w:tcBorders>
              <w:top w:val="nil"/>
              <w:left w:val="nil"/>
              <w:bottom w:val="nil"/>
              <w:right w:val="nil"/>
            </w:tcBorders>
            <w:shd w:val="clear" w:color="auto" w:fill="auto"/>
            <w:noWrap/>
            <w:vAlign w:val="bottom"/>
            <w:hideMark/>
          </w:tcPr>
          <w:p w14:paraId="611B1948" w14:textId="77777777" w:rsidR="00313057" w:rsidRDefault="00313057" w:rsidP="00313057">
            <w:pPr>
              <w:jc w:val="right"/>
              <w:rPr>
                <w:sz w:val="20"/>
                <w:szCs w:val="20"/>
              </w:rPr>
            </w:pPr>
          </w:p>
        </w:tc>
        <w:tc>
          <w:tcPr>
            <w:tcW w:w="1480" w:type="dxa"/>
            <w:tcBorders>
              <w:top w:val="nil"/>
              <w:left w:val="nil"/>
              <w:bottom w:val="nil"/>
              <w:right w:val="nil"/>
            </w:tcBorders>
            <w:shd w:val="clear" w:color="auto" w:fill="auto"/>
            <w:noWrap/>
            <w:vAlign w:val="bottom"/>
            <w:hideMark/>
          </w:tcPr>
          <w:p w14:paraId="67A5BDF0" w14:textId="77777777" w:rsidR="00313057" w:rsidRDefault="00313057" w:rsidP="00313057">
            <w:pPr>
              <w:jc w:val="right"/>
              <w:rPr>
                <w:sz w:val="20"/>
                <w:szCs w:val="20"/>
              </w:rPr>
            </w:pPr>
          </w:p>
        </w:tc>
        <w:tc>
          <w:tcPr>
            <w:tcW w:w="180" w:type="dxa"/>
            <w:tcBorders>
              <w:top w:val="nil"/>
              <w:left w:val="nil"/>
              <w:bottom w:val="nil"/>
              <w:right w:val="nil"/>
            </w:tcBorders>
            <w:shd w:val="clear" w:color="auto" w:fill="auto"/>
            <w:noWrap/>
            <w:vAlign w:val="bottom"/>
            <w:hideMark/>
          </w:tcPr>
          <w:p w14:paraId="5C7497C6" w14:textId="77777777" w:rsidR="00313057" w:rsidRDefault="00313057" w:rsidP="00313057">
            <w:pPr>
              <w:jc w:val="right"/>
              <w:rPr>
                <w:sz w:val="20"/>
                <w:szCs w:val="20"/>
              </w:rPr>
            </w:pPr>
          </w:p>
        </w:tc>
        <w:tc>
          <w:tcPr>
            <w:tcW w:w="1540" w:type="dxa"/>
            <w:tcBorders>
              <w:top w:val="nil"/>
              <w:left w:val="nil"/>
              <w:bottom w:val="nil"/>
              <w:right w:val="nil"/>
            </w:tcBorders>
            <w:shd w:val="clear" w:color="auto" w:fill="auto"/>
            <w:noWrap/>
            <w:vAlign w:val="bottom"/>
            <w:hideMark/>
          </w:tcPr>
          <w:p w14:paraId="7FEF5CDE" w14:textId="77777777" w:rsidR="00313057" w:rsidRDefault="00313057" w:rsidP="00313057">
            <w:pPr>
              <w:jc w:val="right"/>
              <w:rPr>
                <w:sz w:val="20"/>
                <w:szCs w:val="20"/>
              </w:rPr>
            </w:pPr>
          </w:p>
        </w:tc>
      </w:tr>
      <w:tr w:rsidR="00313057" w14:paraId="2E2C1DCF" w14:textId="77777777" w:rsidTr="00313057">
        <w:trPr>
          <w:trHeight w:val="315"/>
        </w:trPr>
        <w:tc>
          <w:tcPr>
            <w:tcW w:w="4920" w:type="dxa"/>
            <w:tcBorders>
              <w:top w:val="nil"/>
              <w:left w:val="nil"/>
              <w:bottom w:val="nil"/>
              <w:right w:val="nil"/>
            </w:tcBorders>
            <w:shd w:val="clear" w:color="auto" w:fill="auto"/>
            <w:noWrap/>
            <w:vAlign w:val="bottom"/>
            <w:hideMark/>
          </w:tcPr>
          <w:p w14:paraId="28E67663" w14:textId="32EC11FF" w:rsidR="00313057" w:rsidRDefault="00313057">
            <w:pPr>
              <w:rPr>
                <w:rFonts w:ascii="Calibri Light" w:hAnsi="Calibri Light" w:cs="Arial"/>
                <w:sz w:val="22"/>
                <w:szCs w:val="22"/>
              </w:rPr>
            </w:pPr>
            <w:r>
              <w:rPr>
                <w:rFonts w:ascii="Calibri Light" w:hAnsi="Calibri Light" w:cs="Arial"/>
                <w:sz w:val="22"/>
                <w:szCs w:val="22"/>
              </w:rPr>
              <w:t>Diluted earnings per share</w:t>
            </w:r>
          </w:p>
        </w:tc>
        <w:tc>
          <w:tcPr>
            <w:tcW w:w="180" w:type="dxa"/>
            <w:tcBorders>
              <w:top w:val="nil"/>
              <w:left w:val="nil"/>
              <w:bottom w:val="nil"/>
              <w:right w:val="nil"/>
            </w:tcBorders>
            <w:shd w:val="clear" w:color="auto" w:fill="auto"/>
            <w:noWrap/>
            <w:vAlign w:val="bottom"/>
            <w:hideMark/>
          </w:tcPr>
          <w:p w14:paraId="2C587CA6" w14:textId="77777777" w:rsidR="00313057" w:rsidRDefault="00313057">
            <w:pPr>
              <w:rPr>
                <w:rFonts w:ascii="Calibri Light" w:hAnsi="Calibri Light" w:cs="Arial"/>
                <w:sz w:val="22"/>
                <w:szCs w:val="22"/>
              </w:rPr>
            </w:pPr>
          </w:p>
        </w:tc>
        <w:tc>
          <w:tcPr>
            <w:tcW w:w="1540" w:type="dxa"/>
            <w:tcBorders>
              <w:top w:val="nil"/>
              <w:left w:val="nil"/>
              <w:bottom w:val="double" w:sz="6" w:space="0" w:color="auto"/>
              <w:right w:val="nil"/>
            </w:tcBorders>
            <w:shd w:val="clear" w:color="auto" w:fill="auto"/>
            <w:noWrap/>
            <w:vAlign w:val="bottom"/>
            <w:hideMark/>
          </w:tcPr>
          <w:p w14:paraId="59B2A71F" w14:textId="49CAF5FD" w:rsidR="00313057" w:rsidRDefault="00F30FBC" w:rsidP="00313057">
            <w:pPr>
              <w:jc w:val="right"/>
              <w:rPr>
                <w:rFonts w:ascii="Calibri Light" w:hAnsi="Calibri Light" w:cs="Arial"/>
                <w:sz w:val="22"/>
                <w:szCs w:val="22"/>
              </w:rPr>
            </w:pPr>
            <w:r>
              <w:rPr>
                <w:rFonts w:ascii="Calibri Light" w:hAnsi="Calibri Light" w:cs="Arial"/>
                <w:sz w:val="22"/>
                <w:szCs w:val="22"/>
              </w:rPr>
              <w:t>2.18p</w:t>
            </w:r>
          </w:p>
        </w:tc>
        <w:tc>
          <w:tcPr>
            <w:tcW w:w="180" w:type="dxa"/>
            <w:tcBorders>
              <w:top w:val="nil"/>
              <w:left w:val="nil"/>
              <w:bottom w:val="nil"/>
              <w:right w:val="nil"/>
            </w:tcBorders>
            <w:shd w:val="clear" w:color="auto" w:fill="auto"/>
            <w:noWrap/>
            <w:vAlign w:val="bottom"/>
            <w:hideMark/>
          </w:tcPr>
          <w:p w14:paraId="35C240A8" w14:textId="77777777" w:rsidR="00313057" w:rsidRDefault="00313057" w:rsidP="00313057">
            <w:pPr>
              <w:jc w:val="right"/>
              <w:rPr>
                <w:rFonts w:ascii="Calibri Light" w:hAnsi="Calibri Light" w:cs="Arial"/>
                <w:sz w:val="22"/>
                <w:szCs w:val="22"/>
              </w:rPr>
            </w:pPr>
          </w:p>
        </w:tc>
        <w:tc>
          <w:tcPr>
            <w:tcW w:w="1480" w:type="dxa"/>
            <w:tcBorders>
              <w:top w:val="nil"/>
              <w:left w:val="nil"/>
              <w:bottom w:val="double" w:sz="6" w:space="0" w:color="auto"/>
              <w:right w:val="nil"/>
            </w:tcBorders>
            <w:shd w:val="clear" w:color="auto" w:fill="auto"/>
            <w:noWrap/>
            <w:vAlign w:val="bottom"/>
            <w:hideMark/>
          </w:tcPr>
          <w:p w14:paraId="78373230"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0.11p</w:t>
            </w:r>
          </w:p>
        </w:tc>
        <w:tc>
          <w:tcPr>
            <w:tcW w:w="180" w:type="dxa"/>
            <w:tcBorders>
              <w:top w:val="nil"/>
              <w:left w:val="nil"/>
              <w:bottom w:val="nil"/>
              <w:right w:val="nil"/>
            </w:tcBorders>
            <w:shd w:val="clear" w:color="auto" w:fill="auto"/>
            <w:noWrap/>
            <w:vAlign w:val="bottom"/>
            <w:hideMark/>
          </w:tcPr>
          <w:p w14:paraId="788D4E60" w14:textId="77777777" w:rsidR="00313057" w:rsidRDefault="00313057" w:rsidP="00313057">
            <w:pPr>
              <w:jc w:val="right"/>
              <w:rPr>
                <w:rFonts w:ascii="Calibri Light" w:hAnsi="Calibri Light" w:cs="Arial"/>
                <w:sz w:val="22"/>
                <w:szCs w:val="22"/>
              </w:rPr>
            </w:pPr>
          </w:p>
        </w:tc>
        <w:tc>
          <w:tcPr>
            <w:tcW w:w="1540" w:type="dxa"/>
            <w:tcBorders>
              <w:top w:val="nil"/>
              <w:left w:val="nil"/>
              <w:bottom w:val="double" w:sz="6" w:space="0" w:color="auto"/>
              <w:right w:val="nil"/>
            </w:tcBorders>
            <w:shd w:val="clear" w:color="auto" w:fill="auto"/>
            <w:noWrap/>
            <w:vAlign w:val="bottom"/>
            <w:hideMark/>
          </w:tcPr>
          <w:p w14:paraId="6004AB4A" w14:textId="77777777" w:rsidR="00313057" w:rsidRDefault="00313057" w:rsidP="00313057">
            <w:pPr>
              <w:jc w:val="right"/>
              <w:rPr>
                <w:rFonts w:ascii="Calibri Light" w:hAnsi="Calibri Light" w:cs="Arial"/>
                <w:sz w:val="22"/>
                <w:szCs w:val="22"/>
              </w:rPr>
            </w:pPr>
            <w:r>
              <w:rPr>
                <w:rFonts w:ascii="Calibri Light" w:hAnsi="Calibri Light" w:cs="Arial"/>
                <w:sz w:val="22"/>
                <w:szCs w:val="22"/>
              </w:rPr>
              <w:t>1.61p</w:t>
            </w:r>
          </w:p>
        </w:tc>
      </w:tr>
    </w:tbl>
    <w:p w14:paraId="644005B4" w14:textId="77777777" w:rsidR="00FA13CA" w:rsidRPr="006645AF" w:rsidRDefault="00FA13CA" w:rsidP="00B86756">
      <w:pPr>
        <w:rPr>
          <w:rFonts w:ascii="Calibri Light" w:hAnsi="Calibri Light" w:cs="Arial"/>
          <w:sz w:val="22"/>
          <w:szCs w:val="22"/>
        </w:rPr>
      </w:pPr>
    </w:p>
    <w:p w14:paraId="644005B5" w14:textId="4FE36984" w:rsidR="00064C98" w:rsidRPr="006645AF" w:rsidRDefault="00C112C0" w:rsidP="003C4B57">
      <w:pPr>
        <w:jc w:val="both"/>
        <w:rPr>
          <w:rFonts w:ascii="Calibri Light" w:hAnsi="Calibri Light" w:cs="Calibri Light"/>
          <w:sz w:val="22"/>
          <w:szCs w:val="22"/>
        </w:rPr>
      </w:pPr>
      <w:r>
        <w:rPr>
          <w:rFonts w:ascii="Calibri Light" w:hAnsi="Calibri Light" w:cs="Calibri Light"/>
          <w:sz w:val="22"/>
          <w:szCs w:val="22"/>
        </w:rPr>
        <w:t xml:space="preserve">The </w:t>
      </w:r>
      <w:r w:rsidR="00F40BC6">
        <w:rPr>
          <w:rFonts w:ascii="Calibri Light" w:hAnsi="Calibri Light" w:cs="Calibri Light"/>
          <w:sz w:val="22"/>
          <w:szCs w:val="22"/>
        </w:rPr>
        <w:t>exercisable sh</w:t>
      </w:r>
      <w:r w:rsidR="008D1A25">
        <w:rPr>
          <w:rFonts w:ascii="Calibri Light" w:hAnsi="Calibri Light" w:cs="Calibri Light"/>
          <w:sz w:val="22"/>
          <w:szCs w:val="22"/>
        </w:rPr>
        <w:t>a</w:t>
      </w:r>
      <w:r w:rsidR="00F40BC6">
        <w:rPr>
          <w:rFonts w:ascii="Calibri Light" w:hAnsi="Calibri Light" w:cs="Calibri Light"/>
          <w:sz w:val="22"/>
          <w:szCs w:val="22"/>
        </w:rPr>
        <w:t xml:space="preserve">re options and warrants are deemed to be dilutive in nature where their exercise </w:t>
      </w:r>
      <w:r w:rsidR="008D1A25">
        <w:rPr>
          <w:rFonts w:ascii="Calibri Light" w:hAnsi="Calibri Light" w:cs="Calibri Light"/>
          <w:sz w:val="22"/>
          <w:szCs w:val="22"/>
        </w:rPr>
        <w:t>price is less than the average share price for the period.</w:t>
      </w:r>
    </w:p>
    <w:p w14:paraId="644005B7" w14:textId="2C9E1C0E" w:rsidR="003B50DC" w:rsidRPr="006645AF" w:rsidRDefault="003B50DC">
      <w:pPr>
        <w:rPr>
          <w:rFonts w:ascii="Calibri Light" w:hAnsi="Calibri Light" w:cs="Arial"/>
          <w:b/>
          <w:sz w:val="22"/>
          <w:szCs w:val="22"/>
        </w:rPr>
      </w:pPr>
    </w:p>
    <w:p w14:paraId="644005B8" w14:textId="77777777" w:rsidR="009E3CF7" w:rsidRPr="006645AF" w:rsidRDefault="009E3CF7" w:rsidP="004F357C">
      <w:pPr>
        <w:numPr>
          <w:ilvl w:val="0"/>
          <w:numId w:val="1"/>
        </w:numPr>
        <w:rPr>
          <w:rFonts w:ascii="Calibri Light" w:hAnsi="Calibri Light" w:cs="Arial"/>
          <w:b/>
          <w:sz w:val="22"/>
          <w:szCs w:val="22"/>
        </w:rPr>
      </w:pPr>
      <w:r w:rsidRPr="006645AF">
        <w:rPr>
          <w:rFonts w:ascii="Calibri Light" w:hAnsi="Calibri Light" w:cs="Arial"/>
          <w:b/>
          <w:sz w:val="22"/>
          <w:szCs w:val="22"/>
        </w:rPr>
        <w:t>Non-current investment</w:t>
      </w:r>
    </w:p>
    <w:p w14:paraId="644005B9" w14:textId="77777777" w:rsidR="00E94EC3" w:rsidRPr="006645AF" w:rsidRDefault="00E94EC3" w:rsidP="00405557">
      <w:pPr>
        <w:jc w:val="both"/>
        <w:rPr>
          <w:rFonts w:ascii="Calibri Light" w:hAnsi="Calibri Light" w:cs="Arial"/>
          <w:sz w:val="22"/>
          <w:szCs w:val="22"/>
        </w:rPr>
      </w:pPr>
    </w:p>
    <w:tbl>
      <w:tblPr>
        <w:tblW w:w="9960" w:type="dxa"/>
        <w:tblLook w:val="04A0" w:firstRow="1" w:lastRow="0" w:firstColumn="1" w:lastColumn="0" w:noHBand="0" w:noVBand="1"/>
      </w:tblPr>
      <w:tblGrid>
        <w:gridCol w:w="4920"/>
        <w:gridCol w:w="222"/>
        <w:gridCol w:w="1540"/>
        <w:gridCol w:w="222"/>
        <w:gridCol w:w="1540"/>
        <w:gridCol w:w="222"/>
        <w:gridCol w:w="1420"/>
      </w:tblGrid>
      <w:tr w:rsidR="00B802AB" w14:paraId="534D9068" w14:textId="77777777" w:rsidTr="00B802AB">
        <w:trPr>
          <w:trHeight w:val="300"/>
        </w:trPr>
        <w:tc>
          <w:tcPr>
            <w:tcW w:w="4920" w:type="dxa"/>
            <w:tcBorders>
              <w:top w:val="nil"/>
              <w:left w:val="nil"/>
              <w:bottom w:val="nil"/>
              <w:right w:val="nil"/>
            </w:tcBorders>
            <w:shd w:val="clear" w:color="auto" w:fill="auto"/>
            <w:noWrap/>
            <w:vAlign w:val="bottom"/>
            <w:hideMark/>
          </w:tcPr>
          <w:p w14:paraId="02DD1D0A" w14:textId="77777777" w:rsidR="00B802AB" w:rsidRDefault="00B802AB">
            <w:pPr>
              <w:rPr>
                <w:sz w:val="20"/>
                <w:szCs w:val="20"/>
                <w:lang w:eastAsia="en-GB"/>
              </w:rPr>
            </w:pPr>
          </w:p>
        </w:tc>
        <w:tc>
          <w:tcPr>
            <w:tcW w:w="180" w:type="dxa"/>
            <w:tcBorders>
              <w:top w:val="nil"/>
              <w:left w:val="nil"/>
              <w:bottom w:val="nil"/>
              <w:right w:val="nil"/>
            </w:tcBorders>
            <w:shd w:val="clear" w:color="auto" w:fill="auto"/>
            <w:noWrap/>
            <w:vAlign w:val="bottom"/>
            <w:hideMark/>
          </w:tcPr>
          <w:p w14:paraId="77AFADB9"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29A87FAD"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Shares in</w:t>
            </w:r>
          </w:p>
        </w:tc>
        <w:tc>
          <w:tcPr>
            <w:tcW w:w="180" w:type="dxa"/>
            <w:tcBorders>
              <w:top w:val="nil"/>
              <w:left w:val="nil"/>
              <w:bottom w:val="nil"/>
              <w:right w:val="nil"/>
            </w:tcBorders>
            <w:shd w:val="clear" w:color="auto" w:fill="auto"/>
            <w:noWrap/>
            <w:vAlign w:val="bottom"/>
            <w:hideMark/>
          </w:tcPr>
          <w:p w14:paraId="4036CA38" w14:textId="77777777" w:rsidR="00B802AB" w:rsidRDefault="00B802AB">
            <w:pPr>
              <w:jc w:val="right"/>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10F88CEE" w14:textId="77777777" w:rsidR="00B802AB" w:rsidRDefault="00B802AB">
            <w:pPr>
              <w:jc w:val="right"/>
              <w:rPr>
                <w:sz w:val="20"/>
                <w:szCs w:val="20"/>
              </w:rPr>
            </w:pPr>
          </w:p>
        </w:tc>
        <w:tc>
          <w:tcPr>
            <w:tcW w:w="180" w:type="dxa"/>
            <w:tcBorders>
              <w:top w:val="nil"/>
              <w:left w:val="nil"/>
              <w:bottom w:val="nil"/>
              <w:right w:val="nil"/>
            </w:tcBorders>
            <w:shd w:val="clear" w:color="auto" w:fill="auto"/>
            <w:noWrap/>
            <w:vAlign w:val="bottom"/>
            <w:hideMark/>
          </w:tcPr>
          <w:p w14:paraId="2A433DFC" w14:textId="77777777" w:rsidR="00B802AB" w:rsidRDefault="00B802AB">
            <w:pPr>
              <w:jc w:val="right"/>
              <w:rPr>
                <w:sz w:val="20"/>
                <w:szCs w:val="20"/>
              </w:rPr>
            </w:pPr>
          </w:p>
        </w:tc>
        <w:tc>
          <w:tcPr>
            <w:tcW w:w="1420" w:type="dxa"/>
            <w:tcBorders>
              <w:top w:val="nil"/>
              <w:left w:val="nil"/>
              <w:bottom w:val="nil"/>
              <w:right w:val="nil"/>
            </w:tcBorders>
            <w:shd w:val="clear" w:color="auto" w:fill="auto"/>
            <w:noWrap/>
            <w:vAlign w:val="bottom"/>
            <w:hideMark/>
          </w:tcPr>
          <w:p w14:paraId="70ADB6E0" w14:textId="77777777" w:rsidR="00B802AB" w:rsidRDefault="00B802AB">
            <w:pPr>
              <w:jc w:val="right"/>
              <w:rPr>
                <w:sz w:val="20"/>
                <w:szCs w:val="20"/>
              </w:rPr>
            </w:pPr>
          </w:p>
        </w:tc>
      </w:tr>
      <w:tr w:rsidR="00B802AB" w14:paraId="08995188" w14:textId="77777777" w:rsidTr="00B802AB">
        <w:trPr>
          <w:trHeight w:val="300"/>
        </w:trPr>
        <w:tc>
          <w:tcPr>
            <w:tcW w:w="4920" w:type="dxa"/>
            <w:tcBorders>
              <w:top w:val="nil"/>
              <w:left w:val="nil"/>
              <w:bottom w:val="nil"/>
              <w:right w:val="nil"/>
            </w:tcBorders>
            <w:shd w:val="clear" w:color="auto" w:fill="auto"/>
            <w:noWrap/>
            <w:vAlign w:val="bottom"/>
            <w:hideMark/>
          </w:tcPr>
          <w:p w14:paraId="61A9C84F" w14:textId="77777777" w:rsidR="00B802AB" w:rsidRDefault="00B802AB">
            <w:pPr>
              <w:jc w:val="right"/>
              <w:rPr>
                <w:sz w:val="20"/>
                <w:szCs w:val="20"/>
              </w:rPr>
            </w:pPr>
          </w:p>
        </w:tc>
        <w:tc>
          <w:tcPr>
            <w:tcW w:w="180" w:type="dxa"/>
            <w:tcBorders>
              <w:top w:val="nil"/>
              <w:left w:val="nil"/>
              <w:bottom w:val="nil"/>
              <w:right w:val="nil"/>
            </w:tcBorders>
            <w:shd w:val="clear" w:color="auto" w:fill="auto"/>
            <w:noWrap/>
            <w:vAlign w:val="bottom"/>
            <w:hideMark/>
          </w:tcPr>
          <w:p w14:paraId="4976796E"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611D5F07" w14:textId="0A4BBCCF" w:rsidR="00B802AB" w:rsidRDefault="00B0340F">
            <w:pPr>
              <w:jc w:val="right"/>
              <w:rPr>
                <w:rFonts w:ascii="Calibri Light" w:hAnsi="Calibri Light" w:cs="Arial"/>
                <w:b/>
                <w:bCs/>
                <w:sz w:val="22"/>
                <w:szCs w:val="22"/>
              </w:rPr>
            </w:pPr>
            <w:r>
              <w:rPr>
                <w:rFonts w:ascii="Calibri Light" w:hAnsi="Calibri Light" w:cs="Arial"/>
                <w:b/>
                <w:bCs/>
                <w:sz w:val="22"/>
                <w:szCs w:val="22"/>
              </w:rPr>
              <w:t>G</w:t>
            </w:r>
            <w:r w:rsidR="00B802AB">
              <w:rPr>
                <w:rFonts w:ascii="Calibri Light" w:hAnsi="Calibri Light" w:cs="Arial"/>
                <w:b/>
                <w:bCs/>
                <w:sz w:val="22"/>
                <w:szCs w:val="22"/>
              </w:rPr>
              <w:t>roup</w:t>
            </w:r>
          </w:p>
        </w:tc>
        <w:tc>
          <w:tcPr>
            <w:tcW w:w="180" w:type="dxa"/>
            <w:tcBorders>
              <w:top w:val="nil"/>
              <w:left w:val="nil"/>
              <w:bottom w:val="nil"/>
              <w:right w:val="nil"/>
            </w:tcBorders>
            <w:shd w:val="clear" w:color="auto" w:fill="auto"/>
            <w:noWrap/>
            <w:vAlign w:val="bottom"/>
            <w:hideMark/>
          </w:tcPr>
          <w:p w14:paraId="3ED3893A" w14:textId="77777777" w:rsidR="00B802AB" w:rsidRDefault="00B802AB">
            <w:pPr>
              <w:jc w:val="right"/>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54444F4F"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Unlisted</w:t>
            </w:r>
          </w:p>
        </w:tc>
        <w:tc>
          <w:tcPr>
            <w:tcW w:w="180" w:type="dxa"/>
            <w:tcBorders>
              <w:top w:val="nil"/>
              <w:left w:val="nil"/>
              <w:bottom w:val="nil"/>
              <w:right w:val="nil"/>
            </w:tcBorders>
            <w:shd w:val="clear" w:color="auto" w:fill="auto"/>
            <w:noWrap/>
            <w:vAlign w:val="bottom"/>
            <w:hideMark/>
          </w:tcPr>
          <w:p w14:paraId="5BA3705A" w14:textId="77777777" w:rsidR="00B802AB" w:rsidRDefault="00B802AB">
            <w:pPr>
              <w:jc w:val="right"/>
              <w:rPr>
                <w:rFonts w:ascii="Calibri Light" w:hAnsi="Calibri Light" w:cs="Arial"/>
                <w:b/>
                <w:bCs/>
                <w:sz w:val="22"/>
                <w:szCs w:val="22"/>
              </w:rPr>
            </w:pPr>
          </w:p>
        </w:tc>
        <w:tc>
          <w:tcPr>
            <w:tcW w:w="1420" w:type="dxa"/>
            <w:tcBorders>
              <w:top w:val="nil"/>
              <w:left w:val="nil"/>
              <w:bottom w:val="nil"/>
              <w:right w:val="nil"/>
            </w:tcBorders>
            <w:shd w:val="clear" w:color="auto" w:fill="auto"/>
            <w:noWrap/>
            <w:vAlign w:val="bottom"/>
            <w:hideMark/>
          </w:tcPr>
          <w:p w14:paraId="281A00B1" w14:textId="77777777" w:rsidR="00B802AB" w:rsidRDefault="00B802AB">
            <w:pPr>
              <w:jc w:val="right"/>
              <w:rPr>
                <w:sz w:val="20"/>
                <w:szCs w:val="20"/>
              </w:rPr>
            </w:pPr>
          </w:p>
        </w:tc>
      </w:tr>
      <w:tr w:rsidR="00B802AB" w14:paraId="0A2C164E" w14:textId="77777777" w:rsidTr="00B802AB">
        <w:trPr>
          <w:trHeight w:val="300"/>
        </w:trPr>
        <w:tc>
          <w:tcPr>
            <w:tcW w:w="4920" w:type="dxa"/>
            <w:tcBorders>
              <w:top w:val="nil"/>
              <w:left w:val="nil"/>
              <w:bottom w:val="nil"/>
              <w:right w:val="nil"/>
            </w:tcBorders>
            <w:shd w:val="clear" w:color="auto" w:fill="auto"/>
            <w:noWrap/>
            <w:vAlign w:val="bottom"/>
            <w:hideMark/>
          </w:tcPr>
          <w:p w14:paraId="7CD98FF7" w14:textId="77777777" w:rsidR="00B802AB" w:rsidRDefault="00B802AB">
            <w:pPr>
              <w:jc w:val="right"/>
              <w:rPr>
                <w:sz w:val="20"/>
                <w:szCs w:val="20"/>
              </w:rPr>
            </w:pPr>
          </w:p>
        </w:tc>
        <w:tc>
          <w:tcPr>
            <w:tcW w:w="180" w:type="dxa"/>
            <w:tcBorders>
              <w:top w:val="nil"/>
              <w:left w:val="nil"/>
              <w:bottom w:val="nil"/>
              <w:right w:val="nil"/>
            </w:tcBorders>
            <w:shd w:val="clear" w:color="auto" w:fill="auto"/>
            <w:noWrap/>
            <w:vAlign w:val="bottom"/>
            <w:hideMark/>
          </w:tcPr>
          <w:p w14:paraId="4174F476"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3ED324EA" w14:textId="16971922" w:rsidR="00B802AB" w:rsidRDefault="00B0340F">
            <w:pPr>
              <w:jc w:val="right"/>
              <w:rPr>
                <w:rFonts w:ascii="Calibri Light" w:hAnsi="Calibri Light" w:cs="Arial"/>
                <w:b/>
                <w:bCs/>
                <w:sz w:val="22"/>
                <w:szCs w:val="22"/>
              </w:rPr>
            </w:pPr>
            <w:r>
              <w:rPr>
                <w:rFonts w:ascii="Calibri Light" w:hAnsi="Calibri Light" w:cs="Arial"/>
                <w:b/>
                <w:bCs/>
                <w:sz w:val="22"/>
                <w:szCs w:val="22"/>
              </w:rPr>
              <w:t>U</w:t>
            </w:r>
            <w:r w:rsidR="00B802AB">
              <w:rPr>
                <w:rFonts w:ascii="Calibri Light" w:hAnsi="Calibri Light" w:cs="Arial"/>
                <w:b/>
                <w:bCs/>
                <w:sz w:val="22"/>
                <w:szCs w:val="22"/>
              </w:rPr>
              <w:t>ndertakings</w:t>
            </w:r>
          </w:p>
        </w:tc>
        <w:tc>
          <w:tcPr>
            <w:tcW w:w="180" w:type="dxa"/>
            <w:tcBorders>
              <w:top w:val="nil"/>
              <w:left w:val="nil"/>
              <w:bottom w:val="nil"/>
              <w:right w:val="nil"/>
            </w:tcBorders>
            <w:shd w:val="clear" w:color="auto" w:fill="auto"/>
            <w:noWrap/>
            <w:vAlign w:val="bottom"/>
            <w:hideMark/>
          </w:tcPr>
          <w:p w14:paraId="453BFAE0" w14:textId="77777777" w:rsidR="00B802AB" w:rsidRDefault="00B802AB">
            <w:pPr>
              <w:jc w:val="right"/>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2914435C"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investments</w:t>
            </w:r>
          </w:p>
        </w:tc>
        <w:tc>
          <w:tcPr>
            <w:tcW w:w="180" w:type="dxa"/>
            <w:tcBorders>
              <w:top w:val="nil"/>
              <w:left w:val="nil"/>
              <w:bottom w:val="nil"/>
              <w:right w:val="nil"/>
            </w:tcBorders>
            <w:shd w:val="clear" w:color="auto" w:fill="auto"/>
            <w:noWrap/>
            <w:vAlign w:val="bottom"/>
            <w:hideMark/>
          </w:tcPr>
          <w:p w14:paraId="0968EE0D" w14:textId="77777777" w:rsidR="00B802AB" w:rsidRDefault="00B802AB">
            <w:pPr>
              <w:jc w:val="right"/>
              <w:rPr>
                <w:rFonts w:ascii="Calibri Light" w:hAnsi="Calibri Light" w:cs="Arial"/>
                <w:b/>
                <w:bCs/>
                <w:sz w:val="22"/>
                <w:szCs w:val="22"/>
              </w:rPr>
            </w:pPr>
          </w:p>
        </w:tc>
        <w:tc>
          <w:tcPr>
            <w:tcW w:w="1420" w:type="dxa"/>
            <w:tcBorders>
              <w:top w:val="nil"/>
              <w:left w:val="nil"/>
              <w:bottom w:val="nil"/>
              <w:right w:val="nil"/>
            </w:tcBorders>
            <w:shd w:val="clear" w:color="auto" w:fill="auto"/>
            <w:noWrap/>
            <w:vAlign w:val="bottom"/>
            <w:hideMark/>
          </w:tcPr>
          <w:p w14:paraId="19812318"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Total</w:t>
            </w:r>
          </w:p>
        </w:tc>
      </w:tr>
      <w:tr w:rsidR="00B802AB" w14:paraId="539C4735" w14:textId="77777777" w:rsidTr="00B802AB">
        <w:trPr>
          <w:trHeight w:val="300"/>
        </w:trPr>
        <w:tc>
          <w:tcPr>
            <w:tcW w:w="4920" w:type="dxa"/>
            <w:tcBorders>
              <w:top w:val="nil"/>
              <w:left w:val="nil"/>
              <w:bottom w:val="nil"/>
              <w:right w:val="nil"/>
            </w:tcBorders>
            <w:shd w:val="clear" w:color="auto" w:fill="auto"/>
            <w:noWrap/>
            <w:vAlign w:val="bottom"/>
            <w:hideMark/>
          </w:tcPr>
          <w:p w14:paraId="586065DB" w14:textId="77777777" w:rsidR="00B802AB" w:rsidRDefault="00B802AB">
            <w:pPr>
              <w:jc w:val="right"/>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05307341"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2EC23F49"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 xml:space="preserve"> £ </w:t>
            </w:r>
          </w:p>
        </w:tc>
        <w:tc>
          <w:tcPr>
            <w:tcW w:w="180" w:type="dxa"/>
            <w:tcBorders>
              <w:top w:val="nil"/>
              <w:left w:val="nil"/>
              <w:bottom w:val="nil"/>
              <w:right w:val="nil"/>
            </w:tcBorders>
            <w:shd w:val="clear" w:color="auto" w:fill="auto"/>
            <w:noWrap/>
            <w:vAlign w:val="bottom"/>
            <w:hideMark/>
          </w:tcPr>
          <w:p w14:paraId="6D028F9C" w14:textId="77777777" w:rsidR="00B802AB" w:rsidRDefault="00B802AB">
            <w:pPr>
              <w:jc w:val="right"/>
              <w:rPr>
                <w:rFonts w:ascii="Calibri Light" w:hAnsi="Calibri Light" w:cs="Arial"/>
                <w:b/>
                <w:bCs/>
                <w:sz w:val="22"/>
                <w:szCs w:val="22"/>
              </w:rPr>
            </w:pPr>
          </w:p>
        </w:tc>
        <w:tc>
          <w:tcPr>
            <w:tcW w:w="1540" w:type="dxa"/>
            <w:tcBorders>
              <w:top w:val="nil"/>
              <w:left w:val="nil"/>
              <w:bottom w:val="nil"/>
              <w:right w:val="nil"/>
            </w:tcBorders>
            <w:shd w:val="clear" w:color="auto" w:fill="auto"/>
            <w:noWrap/>
            <w:vAlign w:val="bottom"/>
            <w:hideMark/>
          </w:tcPr>
          <w:p w14:paraId="164C4770"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 xml:space="preserve"> £ </w:t>
            </w:r>
          </w:p>
        </w:tc>
        <w:tc>
          <w:tcPr>
            <w:tcW w:w="180" w:type="dxa"/>
            <w:tcBorders>
              <w:top w:val="nil"/>
              <w:left w:val="nil"/>
              <w:bottom w:val="nil"/>
              <w:right w:val="nil"/>
            </w:tcBorders>
            <w:shd w:val="clear" w:color="auto" w:fill="auto"/>
            <w:noWrap/>
            <w:vAlign w:val="bottom"/>
            <w:hideMark/>
          </w:tcPr>
          <w:p w14:paraId="075D5F98" w14:textId="77777777" w:rsidR="00B802AB" w:rsidRDefault="00B802AB">
            <w:pPr>
              <w:jc w:val="right"/>
              <w:rPr>
                <w:rFonts w:ascii="Calibri Light" w:hAnsi="Calibri Light" w:cs="Arial"/>
                <w:b/>
                <w:bCs/>
                <w:sz w:val="22"/>
                <w:szCs w:val="22"/>
              </w:rPr>
            </w:pPr>
          </w:p>
        </w:tc>
        <w:tc>
          <w:tcPr>
            <w:tcW w:w="1420" w:type="dxa"/>
            <w:tcBorders>
              <w:top w:val="nil"/>
              <w:left w:val="nil"/>
              <w:bottom w:val="nil"/>
              <w:right w:val="nil"/>
            </w:tcBorders>
            <w:shd w:val="clear" w:color="auto" w:fill="auto"/>
            <w:noWrap/>
            <w:vAlign w:val="bottom"/>
            <w:hideMark/>
          </w:tcPr>
          <w:p w14:paraId="2428FDC5" w14:textId="77777777" w:rsidR="00B802AB" w:rsidRDefault="00B802AB">
            <w:pPr>
              <w:jc w:val="right"/>
              <w:rPr>
                <w:rFonts w:ascii="Calibri Light" w:hAnsi="Calibri Light" w:cs="Arial"/>
                <w:b/>
                <w:bCs/>
                <w:sz w:val="22"/>
                <w:szCs w:val="22"/>
              </w:rPr>
            </w:pPr>
            <w:r>
              <w:rPr>
                <w:rFonts w:ascii="Calibri Light" w:hAnsi="Calibri Light" w:cs="Arial"/>
                <w:b/>
                <w:bCs/>
                <w:sz w:val="22"/>
                <w:szCs w:val="22"/>
              </w:rPr>
              <w:t xml:space="preserve"> £ </w:t>
            </w:r>
          </w:p>
        </w:tc>
      </w:tr>
      <w:tr w:rsidR="00B802AB" w14:paraId="1EC5B111" w14:textId="77777777" w:rsidTr="00B802AB">
        <w:trPr>
          <w:trHeight w:val="300"/>
        </w:trPr>
        <w:tc>
          <w:tcPr>
            <w:tcW w:w="4920" w:type="dxa"/>
            <w:tcBorders>
              <w:top w:val="nil"/>
              <w:left w:val="nil"/>
              <w:bottom w:val="nil"/>
              <w:right w:val="nil"/>
            </w:tcBorders>
            <w:shd w:val="clear" w:color="auto" w:fill="auto"/>
            <w:noWrap/>
            <w:vAlign w:val="bottom"/>
            <w:hideMark/>
          </w:tcPr>
          <w:p w14:paraId="2D649186" w14:textId="77777777" w:rsidR="00B802AB" w:rsidRDefault="00B802AB">
            <w:pPr>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062F9049" w14:textId="77777777" w:rsidR="00B802AB" w:rsidRDefault="00B802AB">
            <w:pPr>
              <w:rPr>
                <w:rFonts w:ascii="Calibri Light" w:hAnsi="Calibri Light" w:cs="Arial"/>
                <w:i/>
                <w:iCs/>
                <w:sz w:val="22"/>
                <w:szCs w:val="22"/>
              </w:rPr>
            </w:pPr>
          </w:p>
        </w:tc>
        <w:tc>
          <w:tcPr>
            <w:tcW w:w="1540" w:type="dxa"/>
            <w:tcBorders>
              <w:top w:val="nil"/>
              <w:left w:val="nil"/>
              <w:bottom w:val="nil"/>
              <w:right w:val="nil"/>
            </w:tcBorders>
            <w:shd w:val="clear" w:color="auto" w:fill="auto"/>
            <w:noWrap/>
            <w:vAlign w:val="bottom"/>
            <w:hideMark/>
          </w:tcPr>
          <w:p w14:paraId="69BEE263" w14:textId="77777777" w:rsidR="00B802AB" w:rsidRDefault="00B802AB">
            <w:pPr>
              <w:rPr>
                <w:sz w:val="20"/>
                <w:szCs w:val="20"/>
              </w:rPr>
            </w:pPr>
          </w:p>
        </w:tc>
        <w:tc>
          <w:tcPr>
            <w:tcW w:w="180" w:type="dxa"/>
            <w:tcBorders>
              <w:top w:val="nil"/>
              <w:left w:val="nil"/>
              <w:bottom w:val="nil"/>
              <w:right w:val="nil"/>
            </w:tcBorders>
            <w:shd w:val="clear" w:color="auto" w:fill="auto"/>
            <w:noWrap/>
            <w:vAlign w:val="bottom"/>
            <w:hideMark/>
          </w:tcPr>
          <w:p w14:paraId="5AFFCDB3"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22832EC9" w14:textId="77777777" w:rsidR="00B802AB" w:rsidRDefault="00B802AB">
            <w:pPr>
              <w:jc w:val="center"/>
              <w:rPr>
                <w:sz w:val="20"/>
                <w:szCs w:val="20"/>
              </w:rPr>
            </w:pPr>
          </w:p>
        </w:tc>
        <w:tc>
          <w:tcPr>
            <w:tcW w:w="180" w:type="dxa"/>
            <w:tcBorders>
              <w:top w:val="nil"/>
              <w:left w:val="nil"/>
              <w:bottom w:val="nil"/>
              <w:right w:val="nil"/>
            </w:tcBorders>
            <w:shd w:val="clear" w:color="auto" w:fill="auto"/>
            <w:noWrap/>
            <w:vAlign w:val="bottom"/>
            <w:hideMark/>
          </w:tcPr>
          <w:p w14:paraId="1DA697EF" w14:textId="77777777" w:rsidR="00B802AB" w:rsidRDefault="00B802AB">
            <w:pPr>
              <w:rPr>
                <w:sz w:val="20"/>
                <w:szCs w:val="20"/>
              </w:rPr>
            </w:pPr>
          </w:p>
        </w:tc>
        <w:tc>
          <w:tcPr>
            <w:tcW w:w="1420" w:type="dxa"/>
            <w:tcBorders>
              <w:top w:val="nil"/>
              <w:left w:val="nil"/>
              <w:bottom w:val="nil"/>
              <w:right w:val="nil"/>
            </w:tcBorders>
            <w:shd w:val="clear" w:color="auto" w:fill="auto"/>
            <w:noWrap/>
            <w:vAlign w:val="bottom"/>
            <w:hideMark/>
          </w:tcPr>
          <w:p w14:paraId="1B1F672C" w14:textId="77777777" w:rsidR="00B802AB" w:rsidRDefault="00B802AB">
            <w:pPr>
              <w:rPr>
                <w:sz w:val="20"/>
                <w:szCs w:val="20"/>
              </w:rPr>
            </w:pPr>
          </w:p>
        </w:tc>
      </w:tr>
      <w:tr w:rsidR="00B802AB" w14:paraId="793B7330" w14:textId="77777777" w:rsidTr="00B802AB">
        <w:trPr>
          <w:trHeight w:val="300"/>
        </w:trPr>
        <w:tc>
          <w:tcPr>
            <w:tcW w:w="4920" w:type="dxa"/>
            <w:tcBorders>
              <w:top w:val="nil"/>
              <w:left w:val="nil"/>
              <w:bottom w:val="nil"/>
              <w:right w:val="nil"/>
            </w:tcBorders>
            <w:shd w:val="clear" w:color="auto" w:fill="auto"/>
            <w:noWrap/>
            <w:vAlign w:val="bottom"/>
            <w:hideMark/>
          </w:tcPr>
          <w:p w14:paraId="2126A7DA" w14:textId="77777777" w:rsidR="00B802AB" w:rsidRDefault="00B802AB">
            <w:pPr>
              <w:rPr>
                <w:rFonts w:ascii="Calibri Light" w:hAnsi="Calibri Light" w:cs="Arial"/>
                <w:sz w:val="22"/>
                <w:szCs w:val="22"/>
              </w:rPr>
            </w:pPr>
            <w:r>
              <w:rPr>
                <w:rFonts w:ascii="Calibri Light" w:hAnsi="Calibri Light" w:cs="Arial"/>
                <w:sz w:val="22"/>
                <w:szCs w:val="22"/>
              </w:rPr>
              <w:t>At 1 January 2022</w:t>
            </w:r>
          </w:p>
        </w:tc>
        <w:tc>
          <w:tcPr>
            <w:tcW w:w="180" w:type="dxa"/>
            <w:tcBorders>
              <w:top w:val="nil"/>
              <w:left w:val="nil"/>
              <w:bottom w:val="nil"/>
              <w:right w:val="nil"/>
            </w:tcBorders>
            <w:shd w:val="clear" w:color="auto" w:fill="auto"/>
            <w:noWrap/>
            <w:vAlign w:val="bottom"/>
            <w:hideMark/>
          </w:tcPr>
          <w:p w14:paraId="63022565"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4616D4E" w14:textId="1944C700"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6,647,305 </w:t>
            </w:r>
          </w:p>
        </w:tc>
        <w:tc>
          <w:tcPr>
            <w:tcW w:w="180" w:type="dxa"/>
            <w:tcBorders>
              <w:top w:val="nil"/>
              <w:left w:val="nil"/>
              <w:bottom w:val="nil"/>
              <w:right w:val="nil"/>
            </w:tcBorders>
            <w:shd w:val="clear" w:color="auto" w:fill="auto"/>
            <w:noWrap/>
            <w:vAlign w:val="bottom"/>
            <w:hideMark/>
          </w:tcPr>
          <w:p w14:paraId="08AB2C78"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29D5B6FC" w14:textId="3096806D"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50,000 </w:t>
            </w:r>
          </w:p>
        </w:tc>
        <w:tc>
          <w:tcPr>
            <w:tcW w:w="180" w:type="dxa"/>
            <w:tcBorders>
              <w:top w:val="nil"/>
              <w:left w:val="nil"/>
              <w:bottom w:val="nil"/>
              <w:right w:val="nil"/>
            </w:tcBorders>
            <w:shd w:val="clear" w:color="auto" w:fill="auto"/>
            <w:noWrap/>
            <w:vAlign w:val="bottom"/>
            <w:hideMark/>
          </w:tcPr>
          <w:p w14:paraId="06D9AEA7"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680DEC9F" w14:textId="0A6803DE"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6,697,305 </w:t>
            </w:r>
          </w:p>
        </w:tc>
      </w:tr>
      <w:tr w:rsidR="00B802AB" w14:paraId="170EC7B1" w14:textId="77777777" w:rsidTr="00B802AB">
        <w:trPr>
          <w:trHeight w:val="300"/>
        </w:trPr>
        <w:tc>
          <w:tcPr>
            <w:tcW w:w="4920" w:type="dxa"/>
            <w:tcBorders>
              <w:top w:val="nil"/>
              <w:left w:val="nil"/>
              <w:bottom w:val="nil"/>
              <w:right w:val="nil"/>
            </w:tcBorders>
            <w:shd w:val="clear" w:color="auto" w:fill="auto"/>
            <w:noWrap/>
            <w:vAlign w:val="bottom"/>
            <w:hideMark/>
          </w:tcPr>
          <w:p w14:paraId="78BEFA0F" w14:textId="77777777" w:rsidR="00B802AB" w:rsidRDefault="00B802AB">
            <w:pPr>
              <w:rPr>
                <w:rFonts w:ascii="Calibri Light" w:hAnsi="Calibri Light" w:cs="Arial"/>
                <w:sz w:val="22"/>
                <w:szCs w:val="22"/>
              </w:rPr>
            </w:pPr>
            <w:r>
              <w:rPr>
                <w:rFonts w:ascii="Calibri Light" w:hAnsi="Calibri Light" w:cs="Arial"/>
                <w:sz w:val="22"/>
                <w:szCs w:val="22"/>
              </w:rPr>
              <w:t>Revaluations</w:t>
            </w:r>
          </w:p>
        </w:tc>
        <w:tc>
          <w:tcPr>
            <w:tcW w:w="180" w:type="dxa"/>
            <w:tcBorders>
              <w:top w:val="nil"/>
              <w:left w:val="nil"/>
              <w:bottom w:val="nil"/>
              <w:right w:val="nil"/>
            </w:tcBorders>
            <w:shd w:val="clear" w:color="auto" w:fill="auto"/>
            <w:noWrap/>
            <w:vAlign w:val="bottom"/>
            <w:hideMark/>
          </w:tcPr>
          <w:p w14:paraId="518C1AF1"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6F27562" w14:textId="3DABEF37"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w:t>
            </w:r>
            <w:r w:rsidR="00B0340F">
              <w:rPr>
                <w:rFonts w:ascii="Calibri Light" w:hAnsi="Calibri Light" w:cs="Arial"/>
                <w:sz w:val="22"/>
                <w:szCs w:val="22"/>
              </w:rPr>
              <w:t>7,645,980</w:t>
            </w:r>
            <w:r>
              <w:rPr>
                <w:rFonts w:ascii="Calibri Light" w:hAnsi="Calibri Light" w:cs="Arial"/>
                <w:sz w:val="22"/>
                <w:szCs w:val="22"/>
              </w:rPr>
              <w:t xml:space="preserve">   </w:t>
            </w:r>
          </w:p>
        </w:tc>
        <w:tc>
          <w:tcPr>
            <w:tcW w:w="180" w:type="dxa"/>
            <w:tcBorders>
              <w:top w:val="nil"/>
              <w:left w:val="nil"/>
              <w:bottom w:val="nil"/>
              <w:right w:val="nil"/>
            </w:tcBorders>
            <w:shd w:val="clear" w:color="auto" w:fill="auto"/>
            <w:noWrap/>
            <w:vAlign w:val="bottom"/>
            <w:hideMark/>
          </w:tcPr>
          <w:p w14:paraId="1E8DDE4F"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3964EE5" w14:textId="554086E0"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   </w:t>
            </w:r>
          </w:p>
        </w:tc>
        <w:tc>
          <w:tcPr>
            <w:tcW w:w="180" w:type="dxa"/>
            <w:tcBorders>
              <w:top w:val="nil"/>
              <w:left w:val="nil"/>
              <w:bottom w:val="nil"/>
              <w:right w:val="nil"/>
            </w:tcBorders>
            <w:shd w:val="clear" w:color="auto" w:fill="auto"/>
            <w:noWrap/>
            <w:vAlign w:val="bottom"/>
            <w:hideMark/>
          </w:tcPr>
          <w:p w14:paraId="785D8AFE"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37AA3061" w14:textId="0804DDDC"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w:t>
            </w:r>
            <w:r w:rsidR="00B0340F">
              <w:rPr>
                <w:rFonts w:ascii="Calibri Light" w:hAnsi="Calibri Light" w:cs="Arial"/>
                <w:sz w:val="22"/>
                <w:szCs w:val="22"/>
              </w:rPr>
              <w:t xml:space="preserve">7,645,980   </w:t>
            </w:r>
            <w:r>
              <w:rPr>
                <w:rFonts w:ascii="Calibri Light" w:hAnsi="Calibri Light" w:cs="Arial"/>
                <w:sz w:val="22"/>
                <w:szCs w:val="22"/>
              </w:rPr>
              <w:t xml:space="preserve">   </w:t>
            </w:r>
          </w:p>
        </w:tc>
      </w:tr>
      <w:tr w:rsidR="00B802AB" w14:paraId="4741F2BB" w14:textId="77777777" w:rsidTr="00B802AB">
        <w:trPr>
          <w:trHeight w:val="315"/>
        </w:trPr>
        <w:tc>
          <w:tcPr>
            <w:tcW w:w="4920" w:type="dxa"/>
            <w:tcBorders>
              <w:top w:val="nil"/>
              <w:left w:val="nil"/>
              <w:bottom w:val="nil"/>
              <w:right w:val="nil"/>
            </w:tcBorders>
            <w:shd w:val="clear" w:color="auto" w:fill="auto"/>
            <w:noWrap/>
            <w:vAlign w:val="bottom"/>
            <w:hideMark/>
          </w:tcPr>
          <w:p w14:paraId="2D0F8B99" w14:textId="77777777" w:rsidR="00B802AB" w:rsidRDefault="00B802AB">
            <w:pPr>
              <w:rPr>
                <w:rFonts w:ascii="Calibri Light" w:hAnsi="Calibri Light" w:cs="Arial"/>
                <w:b/>
                <w:bCs/>
                <w:sz w:val="22"/>
                <w:szCs w:val="22"/>
              </w:rPr>
            </w:pPr>
            <w:r>
              <w:rPr>
                <w:rFonts w:ascii="Calibri Light" w:hAnsi="Calibri Light" w:cs="Arial"/>
                <w:b/>
                <w:bCs/>
                <w:sz w:val="22"/>
                <w:szCs w:val="22"/>
              </w:rPr>
              <w:t>At 30 June 2022</w:t>
            </w:r>
          </w:p>
        </w:tc>
        <w:tc>
          <w:tcPr>
            <w:tcW w:w="180" w:type="dxa"/>
            <w:tcBorders>
              <w:top w:val="nil"/>
              <w:left w:val="nil"/>
              <w:bottom w:val="nil"/>
              <w:right w:val="nil"/>
            </w:tcBorders>
            <w:shd w:val="clear" w:color="auto" w:fill="auto"/>
            <w:noWrap/>
            <w:vAlign w:val="bottom"/>
            <w:hideMark/>
          </w:tcPr>
          <w:p w14:paraId="486B2C32" w14:textId="77777777" w:rsidR="00B802AB" w:rsidRDefault="00B802AB">
            <w:pPr>
              <w:rPr>
                <w:rFonts w:ascii="Calibri Light" w:hAnsi="Calibri Light" w:cs="Arial"/>
                <w:b/>
                <w:bCs/>
                <w:sz w:val="22"/>
                <w:szCs w:val="22"/>
              </w:rPr>
            </w:pPr>
          </w:p>
        </w:tc>
        <w:tc>
          <w:tcPr>
            <w:tcW w:w="1540" w:type="dxa"/>
            <w:tcBorders>
              <w:top w:val="single" w:sz="4" w:space="0" w:color="auto"/>
              <w:left w:val="nil"/>
              <w:bottom w:val="double" w:sz="6" w:space="0" w:color="auto"/>
              <w:right w:val="nil"/>
            </w:tcBorders>
            <w:shd w:val="clear" w:color="auto" w:fill="auto"/>
            <w:noWrap/>
            <w:hideMark/>
          </w:tcPr>
          <w:p w14:paraId="528B5C2B" w14:textId="3DC00256" w:rsidR="00B802AB" w:rsidRDefault="00B802AB" w:rsidP="00EE3FE4">
            <w:pPr>
              <w:jc w:val="right"/>
              <w:rPr>
                <w:rFonts w:ascii="Calibri Light" w:hAnsi="Calibri Light" w:cs="Arial"/>
                <w:b/>
                <w:bCs/>
                <w:sz w:val="22"/>
                <w:szCs w:val="22"/>
              </w:rPr>
            </w:pPr>
            <w:r>
              <w:rPr>
                <w:rFonts w:ascii="Calibri Light" w:hAnsi="Calibri Light" w:cs="Arial"/>
                <w:b/>
                <w:bCs/>
                <w:sz w:val="22"/>
                <w:szCs w:val="22"/>
              </w:rPr>
              <w:t xml:space="preserve">    </w:t>
            </w:r>
            <w:r w:rsidR="00B0340F">
              <w:rPr>
                <w:rFonts w:ascii="Calibri Light" w:hAnsi="Calibri Light" w:cs="Arial"/>
                <w:b/>
                <w:bCs/>
                <w:sz w:val="22"/>
                <w:szCs w:val="22"/>
              </w:rPr>
              <w:t>14,293,285</w:t>
            </w:r>
            <w:r>
              <w:rPr>
                <w:rFonts w:ascii="Calibri Light" w:hAnsi="Calibri Light" w:cs="Arial"/>
                <w:b/>
                <w:bCs/>
                <w:sz w:val="22"/>
                <w:szCs w:val="22"/>
              </w:rPr>
              <w:t xml:space="preserve"> </w:t>
            </w:r>
          </w:p>
        </w:tc>
        <w:tc>
          <w:tcPr>
            <w:tcW w:w="180" w:type="dxa"/>
            <w:tcBorders>
              <w:top w:val="nil"/>
              <w:left w:val="nil"/>
              <w:bottom w:val="nil"/>
              <w:right w:val="nil"/>
            </w:tcBorders>
            <w:shd w:val="clear" w:color="auto" w:fill="auto"/>
            <w:noWrap/>
            <w:vAlign w:val="bottom"/>
            <w:hideMark/>
          </w:tcPr>
          <w:p w14:paraId="475BCDF0" w14:textId="77777777" w:rsidR="00B802AB" w:rsidRDefault="00B802AB" w:rsidP="00EE3FE4">
            <w:pPr>
              <w:jc w:val="right"/>
              <w:rPr>
                <w:rFonts w:ascii="Calibri Light" w:hAnsi="Calibri Light" w:cs="Arial"/>
                <w:b/>
                <w:bCs/>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27F854BE" w14:textId="77777777" w:rsidR="00B802AB" w:rsidRDefault="00B802AB" w:rsidP="00EE3FE4">
            <w:pPr>
              <w:jc w:val="right"/>
              <w:rPr>
                <w:rFonts w:ascii="Calibri Light" w:hAnsi="Calibri Light" w:cs="Arial"/>
                <w:b/>
                <w:bCs/>
                <w:sz w:val="22"/>
                <w:szCs w:val="22"/>
              </w:rPr>
            </w:pPr>
            <w:r>
              <w:rPr>
                <w:rFonts w:ascii="Calibri Light" w:hAnsi="Calibri Light" w:cs="Arial"/>
                <w:b/>
                <w:bCs/>
                <w:sz w:val="22"/>
                <w:szCs w:val="22"/>
              </w:rPr>
              <w:t xml:space="preserve">          50,000 </w:t>
            </w:r>
          </w:p>
        </w:tc>
        <w:tc>
          <w:tcPr>
            <w:tcW w:w="180" w:type="dxa"/>
            <w:tcBorders>
              <w:top w:val="nil"/>
              <w:left w:val="nil"/>
              <w:bottom w:val="nil"/>
              <w:right w:val="nil"/>
            </w:tcBorders>
            <w:shd w:val="clear" w:color="auto" w:fill="auto"/>
            <w:noWrap/>
            <w:vAlign w:val="bottom"/>
            <w:hideMark/>
          </w:tcPr>
          <w:p w14:paraId="7CD7CDB8" w14:textId="77777777" w:rsidR="00B802AB" w:rsidRDefault="00B802AB" w:rsidP="00EE3FE4">
            <w:pPr>
              <w:jc w:val="right"/>
              <w:rPr>
                <w:rFonts w:ascii="Calibri Light" w:hAnsi="Calibri Light" w:cs="Arial"/>
                <w:b/>
                <w:bCs/>
                <w:sz w:val="22"/>
                <w:szCs w:val="22"/>
              </w:rPr>
            </w:pPr>
          </w:p>
        </w:tc>
        <w:tc>
          <w:tcPr>
            <w:tcW w:w="1420" w:type="dxa"/>
            <w:tcBorders>
              <w:top w:val="single" w:sz="4" w:space="0" w:color="auto"/>
              <w:left w:val="nil"/>
              <w:bottom w:val="double" w:sz="6" w:space="0" w:color="auto"/>
              <w:right w:val="nil"/>
            </w:tcBorders>
            <w:shd w:val="clear" w:color="auto" w:fill="auto"/>
            <w:noWrap/>
            <w:vAlign w:val="bottom"/>
            <w:hideMark/>
          </w:tcPr>
          <w:p w14:paraId="7DFBFDBB" w14:textId="0A2666AD" w:rsidR="00B802AB" w:rsidRDefault="00643B99" w:rsidP="00EE3FE4">
            <w:pPr>
              <w:jc w:val="right"/>
              <w:rPr>
                <w:rFonts w:ascii="Calibri Light" w:hAnsi="Calibri Light" w:cs="Arial"/>
                <w:b/>
                <w:bCs/>
                <w:sz w:val="22"/>
                <w:szCs w:val="22"/>
              </w:rPr>
            </w:pPr>
            <w:r>
              <w:rPr>
                <w:rFonts w:ascii="Calibri Light" w:hAnsi="Calibri Light" w:cs="Arial"/>
                <w:b/>
                <w:bCs/>
                <w:sz w:val="22"/>
                <w:szCs w:val="22"/>
              </w:rPr>
              <w:t>14,343,285</w:t>
            </w:r>
            <w:r w:rsidR="00B802AB">
              <w:rPr>
                <w:rFonts w:ascii="Calibri Light" w:hAnsi="Calibri Light" w:cs="Arial"/>
                <w:b/>
                <w:bCs/>
                <w:sz w:val="22"/>
                <w:szCs w:val="22"/>
              </w:rPr>
              <w:t xml:space="preserve"> </w:t>
            </w:r>
          </w:p>
        </w:tc>
      </w:tr>
      <w:tr w:rsidR="00B802AB" w14:paraId="1CED74A8" w14:textId="77777777" w:rsidTr="00B802AB">
        <w:trPr>
          <w:trHeight w:val="315"/>
        </w:trPr>
        <w:tc>
          <w:tcPr>
            <w:tcW w:w="4920" w:type="dxa"/>
            <w:tcBorders>
              <w:top w:val="nil"/>
              <w:left w:val="nil"/>
              <w:bottom w:val="nil"/>
              <w:right w:val="nil"/>
            </w:tcBorders>
            <w:shd w:val="clear" w:color="auto" w:fill="auto"/>
            <w:noWrap/>
            <w:vAlign w:val="bottom"/>
            <w:hideMark/>
          </w:tcPr>
          <w:p w14:paraId="4809DD41" w14:textId="77777777" w:rsidR="00B802AB" w:rsidRDefault="00B802AB">
            <w:pPr>
              <w:rPr>
                <w:rFonts w:ascii="Calibri Light" w:hAnsi="Calibri Light" w:cs="Arial"/>
                <w:b/>
                <w:bCs/>
                <w:sz w:val="22"/>
                <w:szCs w:val="22"/>
              </w:rPr>
            </w:pPr>
          </w:p>
        </w:tc>
        <w:tc>
          <w:tcPr>
            <w:tcW w:w="180" w:type="dxa"/>
            <w:tcBorders>
              <w:top w:val="nil"/>
              <w:left w:val="nil"/>
              <w:bottom w:val="nil"/>
              <w:right w:val="nil"/>
            </w:tcBorders>
            <w:shd w:val="clear" w:color="auto" w:fill="auto"/>
            <w:noWrap/>
            <w:vAlign w:val="bottom"/>
            <w:hideMark/>
          </w:tcPr>
          <w:p w14:paraId="3D79E0FA"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07B8B2E9"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53B45130" w14:textId="77777777" w:rsidR="00B802AB" w:rsidRDefault="00B802AB" w:rsidP="00EE3FE4">
            <w:pPr>
              <w:jc w:val="right"/>
              <w:rPr>
                <w:sz w:val="20"/>
                <w:szCs w:val="20"/>
              </w:rPr>
            </w:pPr>
          </w:p>
        </w:tc>
        <w:tc>
          <w:tcPr>
            <w:tcW w:w="1540" w:type="dxa"/>
            <w:tcBorders>
              <w:top w:val="nil"/>
              <w:left w:val="nil"/>
              <w:bottom w:val="nil"/>
              <w:right w:val="nil"/>
            </w:tcBorders>
            <w:shd w:val="clear" w:color="auto" w:fill="auto"/>
            <w:noWrap/>
            <w:vAlign w:val="bottom"/>
            <w:hideMark/>
          </w:tcPr>
          <w:p w14:paraId="479B6F49"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31091CFC" w14:textId="77777777" w:rsidR="00B802AB" w:rsidRDefault="00B802AB" w:rsidP="00EE3FE4">
            <w:pPr>
              <w:jc w:val="right"/>
              <w:rPr>
                <w:sz w:val="20"/>
                <w:szCs w:val="20"/>
              </w:rPr>
            </w:pPr>
          </w:p>
        </w:tc>
        <w:tc>
          <w:tcPr>
            <w:tcW w:w="1420" w:type="dxa"/>
            <w:tcBorders>
              <w:top w:val="nil"/>
              <w:left w:val="nil"/>
              <w:bottom w:val="nil"/>
              <w:right w:val="nil"/>
            </w:tcBorders>
            <w:shd w:val="clear" w:color="auto" w:fill="auto"/>
            <w:noWrap/>
            <w:vAlign w:val="bottom"/>
            <w:hideMark/>
          </w:tcPr>
          <w:p w14:paraId="45A9C4BE" w14:textId="77777777" w:rsidR="00B802AB" w:rsidRDefault="00B802AB" w:rsidP="00EE3FE4">
            <w:pPr>
              <w:jc w:val="right"/>
              <w:rPr>
                <w:sz w:val="20"/>
                <w:szCs w:val="20"/>
              </w:rPr>
            </w:pPr>
          </w:p>
        </w:tc>
      </w:tr>
      <w:tr w:rsidR="00B802AB" w14:paraId="0EDDEC8B" w14:textId="77777777" w:rsidTr="00B802AB">
        <w:trPr>
          <w:trHeight w:val="300"/>
        </w:trPr>
        <w:tc>
          <w:tcPr>
            <w:tcW w:w="4920" w:type="dxa"/>
            <w:tcBorders>
              <w:top w:val="nil"/>
              <w:left w:val="nil"/>
              <w:bottom w:val="nil"/>
              <w:right w:val="nil"/>
            </w:tcBorders>
            <w:shd w:val="clear" w:color="auto" w:fill="auto"/>
            <w:noWrap/>
            <w:vAlign w:val="bottom"/>
            <w:hideMark/>
          </w:tcPr>
          <w:p w14:paraId="5CA11D62" w14:textId="77777777" w:rsidR="00B802AB" w:rsidRDefault="00B802AB">
            <w:pPr>
              <w:rPr>
                <w:rFonts w:ascii="Calibri Light" w:hAnsi="Calibri Light" w:cs="Arial"/>
                <w:i/>
                <w:iCs/>
                <w:sz w:val="22"/>
                <w:szCs w:val="22"/>
              </w:rPr>
            </w:pPr>
            <w:r>
              <w:rPr>
                <w:rFonts w:ascii="Calibri Light" w:hAnsi="Calibri Light" w:cs="Arial"/>
                <w:i/>
                <w:iCs/>
                <w:sz w:val="22"/>
                <w:szCs w:val="22"/>
              </w:rPr>
              <w:t>Unaudited</w:t>
            </w:r>
          </w:p>
        </w:tc>
        <w:tc>
          <w:tcPr>
            <w:tcW w:w="180" w:type="dxa"/>
            <w:tcBorders>
              <w:top w:val="nil"/>
              <w:left w:val="nil"/>
              <w:bottom w:val="nil"/>
              <w:right w:val="nil"/>
            </w:tcBorders>
            <w:shd w:val="clear" w:color="auto" w:fill="auto"/>
            <w:noWrap/>
            <w:vAlign w:val="bottom"/>
            <w:hideMark/>
          </w:tcPr>
          <w:p w14:paraId="2BF115F7" w14:textId="77777777" w:rsidR="00B802AB" w:rsidRDefault="00B802AB">
            <w:pPr>
              <w:rPr>
                <w:rFonts w:ascii="Calibri Light" w:hAnsi="Calibri Light" w:cs="Arial"/>
                <w:i/>
                <w:iCs/>
                <w:sz w:val="22"/>
                <w:szCs w:val="22"/>
              </w:rPr>
            </w:pPr>
          </w:p>
        </w:tc>
        <w:tc>
          <w:tcPr>
            <w:tcW w:w="1540" w:type="dxa"/>
            <w:tcBorders>
              <w:top w:val="nil"/>
              <w:left w:val="nil"/>
              <w:bottom w:val="nil"/>
              <w:right w:val="nil"/>
            </w:tcBorders>
            <w:shd w:val="clear" w:color="auto" w:fill="auto"/>
            <w:noWrap/>
            <w:vAlign w:val="bottom"/>
            <w:hideMark/>
          </w:tcPr>
          <w:p w14:paraId="5AE464A5"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06F5E576" w14:textId="77777777" w:rsidR="00B802AB" w:rsidRDefault="00B802AB" w:rsidP="00EE3FE4">
            <w:pPr>
              <w:jc w:val="right"/>
              <w:rPr>
                <w:sz w:val="20"/>
                <w:szCs w:val="20"/>
              </w:rPr>
            </w:pPr>
          </w:p>
        </w:tc>
        <w:tc>
          <w:tcPr>
            <w:tcW w:w="1540" w:type="dxa"/>
            <w:tcBorders>
              <w:top w:val="nil"/>
              <w:left w:val="nil"/>
              <w:bottom w:val="nil"/>
              <w:right w:val="nil"/>
            </w:tcBorders>
            <w:shd w:val="clear" w:color="auto" w:fill="auto"/>
            <w:noWrap/>
            <w:vAlign w:val="bottom"/>
            <w:hideMark/>
          </w:tcPr>
          <w:p w14:paraId="22709957"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54B75E4B" w14:textId="77777777" w:rsidR="00B802AB" w:rsidRDefault="00B802AB" w:rsidP="00EE3FE4">
            <w:pPr>
              <w:jc w:val="right"/>
              <w:rPr>
                <w:sz w:val="20"/>
                <w:szCs w:val="20"/>
              </w:rPr>
            </w:pPr>
          </w:p>
        </w:tc>
        <w:tc>
          <w:tcPr>
            <w:tcW w:w="1420" w:type="dxa"/>
            <w:tcBorders>
              <w:top w:val="nil"/>
              <w:left w:val="nil"/>
              <w:bottom w:val="nil"/>
              <w:right w:val="nil"/>
            </w:tcBorders>
            <w:shd w:val="clear" w:color="auto" w:fill="auto"/>
            <w:noWrap/>
            <w:vAlign w:val="bottom"/>
            <w:hideMark/>
          </w:tcPr>
          <w:p w14:paraId="19A94C39" w14:textId="77777777" w:rsidR="00B802AB" w:rsidRDefault="00B802AB" w:rsidP="00EE3FE4">
            <w:pPr>
              <w:jc w:val="right"/>
              <w:rPr>
                <w:sz w:val="20"/>
                <w:szCs w:val="20"/>
              </w:rPr>
            </w:pPr>
          </w:p>
        </w:tc>
      </w:tr>
      <w:tr w:rsidR="00B802AB" w14:paraId="64B41643" w14:textId="77777777" w:rsidTr="00B802AB">
        <w:trPr>
          <w:trHeight w:val="300"/>
        </w:trPr>
        <w:tc>
          <w:tcPr>
            <w:tcW w:w="4920" w:type="dxa"/>
            <w:tcBorders>
              <w:top w:val="nil"/>
              <w:left w:val="nil"/>
              <w:bottom w:val="nil"/>
              <w:right w:val="nil"/>
            </w:tcBorders>
            <w:shd w:val="clear" w:color="auto" w:fill="auto"/>
            <w:noWrap/>
            <w:vAlign w:val="bottom"/>
            <w:hideMark/>
          </w:tcPr>
          <w:p w14:paraId="72C84F0F" w14:textId="77777777" w:rsidR="00B802AB" w:rsidRDefault="00B802AB">
            <w:pPr>
              <w:rPr>
                <w:rFonts w:ascii="Calibri Light" w:hAnsi="Calibri Light" w:cs="Arial"/>
                <w:sz w:val="22"/>
                <w:szCs w:val="22"/>
              </w:rPr>
            </w:pPr>
            <w:r>
              <w:rPr>
                <w:rFonts w:ascii="Calibri Light" w:hAnsi="Calibri Light" w:cs="Arial"/>
                <w:sz w:val="22"/>
                <w:szCs w:val="22"/>
              </w:rPr>
              <w:t>At 1 January 2021</w:t>
            </w:r>
          </w:p>
        </w:tc>
        <w:tc>
          <w:tcPr>
            <w:tcW w:w="180" w:type="dxa"/>
            <w:tcBorders>
              <w:top w:val="nil"/>
              <w:left w:val="nil"/>
              <w:bottom w:val="nil"/>
              <w:right w:val="nil"/>
            </w:tcBorders>
            <w:shd w:val="clear" w:color="auto" w:fill="auto"/>
            <w:noWrap/>
            <w:vAlign w:val="bottom"/>
            <w:hideMark/>
          </w:tcPr>
          <w:p w14:paraId="098DE5FE"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23BCF859" w14:textId="0E552B97"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3,570,890 </w:t>
            </w:r>
          </w:p>
        </w:tc>
        <w:tc>
          <w:tcPr>
            <w:tcW w:w="180" w:type="dxa"/>
            <w:tcBorders>
              <w:top w:val="nil"/>
              <w:left w:val="nil"/>
              <w:bottom w:val="nil"/>
              <w:right w:val="nil"/>
            </w:tcBorders>
            <w:shd w:val="clear" w:color="auto" w:fill="auto"/>
            <w:noWrap/>
            <w:vAlign w:val="bottom"/>
            <w:hideMark/>
          </w:tcPr>
          <w:p w14:paraId="23903537"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6E565260" w14:textId="69223FB3"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50,000 </w:t>
            </w:r>
          </w:p>
        </w:tc>
        <w:tc>
          <w:tcPr>
            <w:tcW w:w="180" w:type="dxa"/>
            <w:tcBorders>
              <w:top w:val="nil"/>
              <w:left w:val="nil"/>
              <w:bottom w:val="nil"/>
              <w:right w:val="nil"/>
            </w:tcBorders>
            <w:shd w:val="clear" w:color="auto" w:fill="auto"/>
            <w:noWrap/>
            <w:vAlign w:val="bottom"/>
            <w:hideMark/>
          </w:tcPr>
          <w:p w14:paraId="00A30D16"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0A39C12A" w14:textId="5D627459"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3,620,890 </w:t>
            </w:r>
          </w:p>
        </w:tc>
      </w:tr>
      <w:tr w:rsidR="00B802AB" w14:paraId="3005DE31" w14:textId="77777777" w:rsidTr="00B802AB">
        <w:trPr>
          <w:trHeight w:val="300"/>
        </w:trPr>
        <w:tc>
          <w:tcPr>
            <w:tcW w:w="4920" w:type="dxa"/>
            <w:tcBorders>
              <w:top w:val="nil"/>
              <w:left w:val="nil"/>
              <w:bottom w:val="nil"/>
              <w:right w:val="nil"/>
            </w:tcBorders>
            <w:shd w:val="clear" w:color="auto" w:fill="auto"/>
            <w:noWrap/>
            <w:vAlign w:val="bottom"/>
            <w:hideMark/>
          </w:tcPr>
          <w:p w14:paraId="6BC701E9" w14:textId="77777777" w:rsidR="00B802AB" w:rsidRDefault="00B802AB">
            <w:pPr>
              <w:rPr>
                <w:rFonts w:ascii="Calibri Light" w:hAnsi="Calibri Light" w:cs="Arial"/>
                <w:sz w:val="22"/>
                <w:szCs w:val="22"/>
              </w:rPr>
            </w:pPr>
            <w:r>
              <w:rPr>
                <w:rFonts w:ascii="Calibri Light" w:hAnsi="Calibri Light" w:cs="Arial"/>
                <w:sz w:val="22"/>
                <w:szCs w:val="22"/>
              </w:rPr>
              <w:t>Revaluations</w:t>
            </w:r>
          </w:p>
        </w:tc>
        <w:tc>
          <w:tcPr>
            <w:tcW w:w="180" w:type="dxa"/>
            <w:tcBorders>
              <w:top w:val="nil"/>
              <w:left w:val="nil"/>
              <w:bottom w:val="nil"/>
              <w:right w:val="nil"/>
            </w:tcBorders>
            <w:shd w:val="clear" w:color="auto" w:fill="auto"/>
            <w:noWrap/>
            <w:vAlign w:val="bottom"/>
            <w:hideMark/>
          </w:tcPr>
          <w:p w14:paraId="4CA129A6"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5DC7B59F" w14:textId="66F81303"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488,335 </w:t>
            </w:r>
          </w:p>
        </w:tc>
        <w:tc>
          <w:tcPr>
            <w:tcW w:w="180" w:type="dxa"/>
            <w:tcBorders>
              <w:top w:val="nil"/>
              <w:left w:val="nil"/>
              <w:bottom w:val="nil"/>
              <w:right w:val="nil"/>
            </w:tcBorders>
            <w:shd w:val="clear" w:color="auto" w:fill="auto"/>
            <w:noWrap/>
            <w:vAlign w:val="bottom"/>
            <w:hideMark/>
          </w:tcPr>
          <w:p w14:paraId="518F7951"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082DE921" w14:textId="745A08A1"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   </w:t>
            </w:r>
          </w:p>
        </w:tc>
        <w:tc>
          <w:tcPr>
            <w:tcW w:w="180" w:type="dxa"/>
            <w:tcBorders>
              <w:top w:val="nil"/>
              <w:left w:val="nil"/>
              <w:bottom w:val="nil"/>
              <w:right w:val="nil"/>
            </w:tcBorders>
            <w:shd w:val="clear" w:color="auto" w:fill="auto"/>
            <w:noWrap/>
            <w:vAlign w:val="bottom"/>
            <w:hideMark/>
          </w:tcPr>
          <w:p w14:paraId="64553C27"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34F1819B" w14:textId="44F3A05C"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488,335 </w:t>
            </w:r>
          </w:p>
        </w:tc>
      </w:tr>
      <w:tr w:rsidR="00B802AB" w14:paraId="6FECCC5C" w14:textId="77777777" w:rsidTr="00B802AB">
        <w:trPr>
          <w:trHeight w:val="315"/>
        </w:trPr>
        <w:tc>
          <w:tcPr>
            <w:tcW w:w="4920" w:type="dxa"/>
            <w:tcBorders>
              <w:top w:val="nil"/>
              <w:left w:val="nil"/>
              <w:bottom w:val="nil"/>
              <w:right w:val="nil"/>
            </w:tcBorders>
            <w:shd w:val="clear" w:color="auto" w:fill="auto"/>
            <w:noWrap/>
            <w:vAlign w:val="bottom"/>
            <w:hideMark/>
          </w:tcPr>
          <w:p w14:paraId="6C29D132" w14:textId="77777777" w:rsidR="00B802AB" w:rsidRDefault="00B802AB">
            <w:pPr>
              <w:rPr>
                <w:rFonts w:ascii="Calibri Light" w:hAnsi="Calibri Light" w:cs="Arial"/>
                <w:b/>
                <w:bCs/>
                <w:sz w:val="22"/>
                <w:szCs w:val="22"/>
              </w:rPr>
            </w:pPr>
            <w:r>
              <w:rPr>
                <w:rFonts w:ascii="Calibri Light" w:hAnsi="Calibri Light" w:cs="Arial"/>
                <w:b/>
                <w:bCs/>
                <w:sz w:val="22"/>
                <w:szCs w:val="22"/>
              </w:rPr>
              <w:t>At 30 June 2021</w:t>
            </w:r>
          </w:p>
        </w:tc>
        <w:tc>
          <w:tcPr>
            <w:tcW w:w="180" w:type="dxa"/>
            <w:tcBorders>
              <w:top w:val="nil"/>
              <w:left w:val="nil"/>
              <w:bottom w:val="nil"/>
              <w:right w:val="nil"/>
            </w:tcBorders>
            <w:shd w:val="clear" w:color="auto" w:fill="auto"/>
            <w:noWrap/>
            <w:vAlign w:val="bottom"/>
            <w:hideMark/>
          </w:tcPr>
          <w:p w14:paraId="1B4B4B60" w14:textId="77777777" w:rsidR="00B802AB" w:rsidRDefault="00B802AB">
            <w:pPr>
              <w:rPr>
                <w:rFonts w:ascii="Calibri Light" w:hAnsi="Calibri Light" w:cs="Arial"/>
                <w:b/>
                <w:bCs/>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32975E0B" w14:textId="4A27BE73"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4,059,225 </w:t>
            </w:r>
          </w:p>
        </w:tc>
        <w:tc>
          <w:tcPr>
            <w:tcW w:w="180" w:type="dxa"/>
            <w:tcBorders>
              <w:top w:val="nil"/>
              <w:left w:val="nil"/>
              <w:bottom w:val="nil"/>
              <w:right w:val="nil"/>
            </w:tcBorders>
            <w:shd w:val="clear" w:color="auto" w:fill="auto"/>
            <w:noWrap/>
            <w:vAlign w:val="bottom"/>
            <w:hideMark/>
          </w:tcPr>
          <w:p w14:paraId="73FFA05D" w14:textId="77777777" w:rsidR="00B802AB" w:rsidRDefault="00B802AB" w:rsidP="00EE3FE4">
            <w:pPr>
              <w:jc w:val="right"/>
              <w:rPr>
                <w:rFonts w:ascii="Calibri Light" w:hAnsi="Calibri Light" w:cs="Arial"/>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30B7FDDB" w14:textId="78D61E20"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50,000 </w:t>
            </w:r>
          </w:p>
        </w:tc>
        <w:tc>
          <w:tcPr>
            <w:tcW w:w="180" w:type="dxa"/>
            <w:tcBorders>
              <w:top w:val="nil"/>
              <w:left w:val="nil"/>
              <w:bottom w:val="nil"/>
              <w:right w:val="nil"/>
            </w:tcBorders>
            <w:shd w:val="clear" w:color="auto" w:fill="auto"/>
            <w:noWrap/>
            <w:vAlign w:val="bottom"/>
            <w:hideMark/>
          </w:tcPr>
          <w:p w14:paraId="1D928DF5" w14:textId="77777777" w:rsidR="00B802AB" w:rsidRDefault="00B802AB" w:rsidP="00EE3FE4">
            <w:pPr>
              <w:jc w:val="right"/>
              <w:rPr>
                <w:rFonts w:ascii="Calibri Light" w:hAnsi="Calibri Light" w:cs="Arial"/>
                <w:sz w:val="22"/>
                <w:szCs w:val="22"/>
              </w:rPr>
            </w:pPr>
          </w:p>
        </w:tc>
        <w:tc>
          <w:tcPr>
            <w:tcW w:w="1420" w:type="dxa"/>
            <w:tcBorders>
              <w:top w:val="single" w:sz="4" w:space="0" w:color="auto"/>
              <w:left w:val="nil"/>
              <w:bottom w:val="double" w:sz="6" w:space="0" w:color="auto"/>
              <w:right w:val="nil"/>
            </w:tcBorders>
            <w:shd w:val="clear" w:color="auto" w:fill="auto"/>
            <w:noWrap/>
            <w:vAlign w:val="bottom"/>
            <w:hideMark/>
          </w:tcPr>
          <w:p w14:paraId="1A5CA9DA" w14:textId="3E66300F"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4,109,225 </w:t>
            </w:r>
          </w:p>
        </w:tc>
      </w:tr>
      <w:tr w:rsidR="00B802AB" w14:paraId="72189473" w14:textId="77777777" w:rsidTr="00B802AB">
        <w:trPr>
          <w:trHeight w:val="315"/>
        </w:trPr>
        <w:tc>
          <w:tcPr>
            <w:tcW w:w="4920" w:type="dxa"/>
            <w:tcBorders>
              <w:top w:val="nil"/>
              <w:left w:val="nil"/>
              <w:bottom w:val="nil"/>
              <w:right w:val="nil"/>
            </w:tcBorders>
            <w:shd w:val="clear" w:color="auto" w:fill="auto"/>
            <w:noWrap/>
            <w:vAlign w:val="bottom"/>
            <w:hideMark/>
          </w:tcPr>
          <w:p w14:paraId="6A68E027" w14:textId="77777777" w:rsidR="00B802AB" w:rsidRDefault="00B802AB">
            <w:pPr>
              <w:rPr>
                <w:rFonts w:ascii="Calibri Light" w:hAnsi="Calibri Light" w:cs="Arial"/>
                <w:sz w:val="22"/>
                <w:szCs w:val="22"/>
              </w:rPr>
            </w:pPr>
          </w:p>
        </w:tc>
        <w:tc>
          <w:tcPr>
            <w:tcW w:w="180" w:type="dxa"/>
            <w:tcBorders>
              <w:top w:val="nil"/>
              <w:left w:val="nil"/>
              <w:bottom w:val="nil"/>
              <w:right w:val="nil"/>
            </w:tcBorders>
            <w:shd w:val="clear" w:color="auto" w:fill="auto"/>
            <w:noWrap/>
            <w:vAlign w:val="bottom"/>
            <w:hideMark/>
          </w:tcPr>
          <w:p w14:paraId="546C2663" w14:textId="77777777" w:rsidR="00B802AB" w:rsidRDefault="00B802AB">
            <w:pPr>
              <w:rPr>
                <w:sz w:val="20"/>
                <w:szCs w:val="20"/>
              </w:rPr>
            </w:pPr>
          </w:p>
        </w:tc>
        <w:tc>
          <w:tcPr>
            <w:tcW w:w="1540" w:type="dxa"/>
            <w:tcBorders>
              <w:top w:val="nil"/>
              <w:left w:val="nil"/>
              <w:bottom w:val="nil"/>
              <w:right w:val="nil"/>
            </w:tcBorders>
            <w:shd w:val="clear" w:color="auto" w:fill="auto"/>
            <w:noWrap/>
            <w:vAlign w:val="bottom"/>
            <w:hideMark/>
          </w:tcPr>
          <w:p w14:paraId="54098539"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0C48ACB5" w14:textId="77777777" w:rsidR="00B802AB" w:rsidRDefault="00B802AB" w:rsidP="00EE3FE4">
            <w:pPr>
              <w:jc w:val="right"/>
              <w:rPr>
                <w:sz w:val="20"/>
                <w:szCs w:val="20"/>
              </w:rPr>
            </w:pPr>
          </w:p>
        </w:tc>
        <w:tc>
          <w:tcPr>
            <w:tcW w:w="1540" w:type="dxa"/>
            <w:tcBorders>
              <w:top w:val="nil"/>
              <w:left w:val="nil"/>
              <w:bottom w:val="nil"/>
              <w:right w:val="nil"/>
            </w:tcBorders>
            <w:shd w:val="clear" w:color="auto" w:fill="auto"/>
            <w:noWrap/>
            <w:vAlign w:val="bottom"/>
            <w:hideMark/>
          </w:tcPr>
          <w:p w14:paraId="5B165CCA"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03F2A4B4" w14:textId="77777777" w:rsidR="00B802AB" w:rsidRDefault="00B802AB" w:rsidP="00EE3FE4">
            <w:pPr>
              <w:jc w:val="right"/>
              <w:rPr>
                <w:sz w:val="20"/>
                <w:szCs w:val="20"/>
              </w:rPr>
            </w:pPr>
          </w:p>
        </w:tc>
        <w:tc>
          <w:tcPr>
            <w:tcW w:w="1420" w:type="dxa"/>
            <w:tcBorders>
              <w:top w:val="nil"/>
              <w:left w:val="nil"/>
              <w:bottom w:val="nil"/>
              <w:right w:val="nil"/>
            </w:tcBorders>
            <w:shd w:val="clear" w:color="auto" w:fill="auto"/>
            <w:noWrap/>
            <w:vAlign w:val="bottom"/>
            <w:hideMark/>
          </w:tcPr>
          <w:p w14:paraId="0EA52F69" w14:textId="77777777" w:rsidR="00B802AB" w:rsidRDefault="00B802AB" w:rsidP="00EE3FE4">
            <w:pPr>
              <w:jc w:val="right"/>
              <w:rPr>
                <w:sz w:val="20"/>
                <w:szCs w:val="20"/>
              </w:rPr>
            </w:pPr>
          </w:p>
        </w:tc>
      </w:tr>
      <w:tr w:rsidR="00B802AB" w14:paraId="2E52962D" w14:textId="77777777" w:rsidTr="00B802AB">
        <w:trPr>
          <w:trHeight w:val="300"/>
        </w:trPr>
        <w:tc>
          <w:tcPr>
            <w:tcW w:w="4920" w:type="dxa"/>
            <w:tcBorders>
              <w:top w:val="nil"/>
              <w:left w:val="nil"/>
              <w:bottom w:val="nil"/>
              <w:right w:val="nil"/>
            </w:tcBorders>
            <w:shd w:val="clear" w:color="auto" w:fill="auto"/>
            <w:noWrap/>
            <w:vAlign w:val="bottom"/>
            <w:hideMark/>
          </w:tcPr>
          <w:p w14:paraId="340400A8" w14:textId="77777777" w:rsidR="00B802AB" w:rsidRDefault="00B802AB">
            <w:pPr>
              <w:rPr>
                <w:rFonts w:ascii="Calibri Light" w:hAnsi="Calibri Light" w:cs="Arial"/>
                <w:i/>
                <w:iCs/>
                <w:sz w:val="22"/>
                <w:szCs w:val="22"/>
              </w:rPr>
            </w:pPr>
            <w:r>
              <w:rPr>
                <w:rFonts w:ascii="Calibri Light" w:hAnsi="Calibri Light" w:cs="Arial"/>
                <w:i/>
                <w:iCs/>
                <w:sz w:val="22"/>
                <w:szCs w:val="22"/>
              </w:rPr>
              <w:t>Audited</w:t>
            </w:r>
          </w:p>
        </w:tc>
        <w:tc>
          <w:tcPr>
            <w:tcW w:w="180" w:type="dxa"/>
            <w:tcBorders>
              <w:top w:val="nil"/>
              <w:left w:val="nil"/>
              <w:bottom w:val="nil"/>
              <w:right w:val="nil"/>
            </w:tcBorders>
            <w:shd w:val="clear" w:color="auto" w:fill="auto"/>
            <w:noWrap/>
            <w:vAlign w:val="bottom"/>
            <w:hideMark/>
          </w:tcPr>
          <w:p w14:paraId="1899F0B2" w14:textId="77777777" w:rsidR="00B802AB" w:rsidRDefault="00B802AB">
            <w:pPr>
              <w:rPr>
                <w:rFonts w:ascii="Calibri Light" w:hAnsi="Calibri Light" w:cs="Arial"/>
                <w:i/>
                <w:iCs/>
                <w:sz w:val="22"/>
                <w:szCs w:val="22"/>
              </w:rPr>
            </w:pPr>
          </w:p>
        </w:tc>
        <w:tc>
          <w:tcPr>
            <w:tcW w:w="1540" w:type="dxa"/>
            <w:tcBorders>
              <w:top w:val="nil"/>
              <w:left w:val="nil"/>
              <w:bottom w:val="nil"/>
              <w:right w:val="nil"/>
            </w:tcBorders>
            <w:shd w:val="clear" w:color="auto" w:fill="auto"/>
            <w:noWrap/>
            <w:vAlign w:val="bottom"/>
            <w:hideMark/>
          </w:tcPr>
          <w:p w14:paraId="64B390F6"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57CD2554" w14:textId="77777777" w:rsidR="00B802AB" w:rsidRDefault="00B802AB" w:rsidP="00EE3FE4">
            <w:pPr>
              <w:jc w:val="right"/>
              <w:rPr>
                <w:sz w:val="20"/>
                <w:szCs w:val="20"/>
              </w:rPr>
            </w:pPr>
          </w:p>
        </w:tc>
        <w:tc>
          <w:tcPr>
            <w:tcW w:w="1540" w:type="dxa"/>
            <w:tcBorders>
              <w:top w:val="nil"/>
              <w:left w:val="nil"/>
              <w:bottom w:val="nil"/>
              <w:right w:val="nil"/>
            </w:tcBorders>
            <w:shd w:val="clear" w:color="auto" w:fill="auto"/>
            <w:noWrap/>
            <w:vAlign w:val="bottom"/>
            <w:hideMark/>
          </w:tcPr>
          <w:p w14:paraId="741DD9EF" w14:textId="77777777" w:rsidR="00B802AB" w:rsidRDefault="00B802AB" w:rsidP="00EE3FE4">
            <w:pPr>
              <w:jc w:val="right"/>
              <w:rPr>
                <w:sz w:val="20"/>
                <w:szCs w:val="20"/>
              </w:rPr>
            </w:pPr>
          </w:p>
        </w:tc>
        <w:tc>
          <w:tcPr>
            <w:tcW w:w="180" w:type="dxa"/>
            <w:tcBorders>
              <w:top w:val="nil"/>
              <w:left w:val="nil"/>
              <w:bottom w:val="nil"/>
              <w:right w:val="nil"/>
            </w:tcBorders>
            <w:shd w:val="clear" w:color="auto" w:fill="auto"/>
            <w:noWrap/>
            <w:vAlign w:val="bottom"/>
            <w:hideMark/>
          </w:tcPr>
          <w:p w14:paraId="383E9E89" w14:textId="77777777" w:rsidR="00B802AB" w:rsidRDefault="00B802AB" w:rsidP="00EE3FE4">
            <w:pPr>
              <w:jc w:val="right"/>
              <w:rPr>
                <w:sz w:val="20"/>
                <w:szCs w:val="20"/>
              </w:rPr>
            </w:pPr>
          </w:p>
        </w:tc>
        <w:tc>
          <w:tcPr>
            <w:tcW w:w="1420" w:type="dxa"/>
            <w:tcBorders>
              <w:top w:val="nil"/>
              <w:left w:val="nil"/>
              <w:bottom w:val="nil"/>
              <w:right w:val="nil"/>
            </w:tcBorders>
            <w:shd w:val="clear" w:color="auto" w:fill="auto"/>
            <w:noWrap/>
            <w:vAlign w:val="bottom"/>
            <w:hideMark/>
          </w:tcPr>
          <w:p w14:paraId="5554B939" w14:textId="77777777" w:rsidR="00B802AB" w:rsidRDefault="00B802AB" w:rsidP="00EE3FE4">
            <w:pPr>
              <w:jc w:val="right"/>
              <w:rPr>
                <w:sz w:val="20"/>
                <w:szCs w:val="20"/>
              </w:rPr>
            </w:pPr>
          </w:p>
        </w:tc>
      </w:tr>
      <w:tr w:rsidR="00B802AB" w14:paraId="4EE31092" w14:textId="77777777" w:rsidTr="00B802AB">
        <w:trPr>
          <w:trHeight w:val="300"/>
        </w:trPr>
        <w:tc>
          <w:tcPr>
            <w:tcW w:w="4920" w:type="dxa"/>
            <w:tcBorders>
              <w:top w:val="nil"/>
              <w:left w:val="nil"/>
              <w:bottom w:val="nil"/>
              <w:right w:val="nil"/>
            </w:tcBorders>
            <w:shd w:val="clear" w:color="auto" w:fill="auto"/>
            <w:noWrap/>
            <w:vAlign w:val="bottom"/>
            <w:hideMark/>
          </w:tcPr>
          <w:p w14:paraId="3158075A" w14:textId="77777777" w:rsidR="00B802AB" w:rsidRDefault="00B802AB">
            <w:pPr>
              <w:rPr>
                <w:rFonts w:ascii="Calibri Light" w:hAnsi="Calibri Light" w:cs="Arial"/>
                <w:sz w:val="22"/>
                <w:szCs w:val="22"/>
              </w:rPr>
            </w:pPr>
            <w:r>
              <w:rPr>
                <w:rFonts w:ascii="Calibri Light" w:hAnsi="Calibri Light" w:cs="Arial"/>
                <w:sz w:val="22"/>
                <w:szCs w:val="22"/>
              </w:rPr>
              <w:t>At 1 January 2021</w:t>
            </w:r>
          </w:p>
        </w:tc>
        <w:tc>
          <w:tcPr>
            <w:tcW w:w="180" w:type="dxa"/>
            <w:tcBorders>
              <w:top w:val="nil"/>
              <w:left w:val="nil"/>
              <w:bottom w:val="nil"/>
              <w:right w:val="nil"/>
            </w:tcBorders>
            <w:shd w:val="clear" w:color="auto" w:fill="auto"/>
            <w:noWrap/>
            <w:vAlign w:val="bottom"/>
            <w:hideMark/>
          </w:tcPr>
          <w:p w14:paraId="191EDAB8"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FB98236" w14:textId="694877EF"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3,570,890 </w:t>
            </w:r>
          </w:p>
        </w:tc>
        <w:tc>
          <w:tcPr>
            <w:tcW w:w="180" w:type="dxa"/>
            <w:tcBorders>
              <w:top w:val="nil"/>
              <w:left w:val="nil"/>
              <w:bottom w:val="nil"/>
              <w:right w:val="nil"/>
            </w:tcBorders>
            <w:shd w:val="clear" w:color="auto" w:fill="auto"/>
            <w:noWrap/>
            <w:vAlign w:val="bottom"/>
            <w:hideMark/>
          </w:tcPr>
          <w:p w14:paraId="1AC52264"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17C528D4" w14:textId="5FBB1F36"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50,000 </w:t>
            </w:r>
          </w:p>
        </w:tc>
        <w:tc>
          <w:tcPr>
            <w:tcW w:w="180" w:type="dxa"/>
            <w:tcBorders>
              <w:top w:val="nil"/>
              <w:left w:val="nil"/>
              <w:bottom w:val="nil"/>
              <w:right w:val="nil"/>
            </w:tcBorders>
            <w:shd w:val="clear" w:color="auto" w:fill="auto"/>
            <w:noWrap/>
            <w:vAlign w:val="bottom"/>
            <w:hideMark/>
          </w:tcPr>
          <w:p w14:paraId="01BBFFF9"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2457945A" w14:textId="0D3676D5"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3,620,890 </w:t>
            </w:r>
          </w:p>
        </w:tc>
      </w:tr>
      <w:tr w:rsidR="00B802AB" w14:paraId="1DD24BC6" w14:textId="77777777" w:rsidTr="00B802AB">
        <w:trPr>
          <w:trHeight w:val="300"/>
        </w:trPr>
        <w:tc>
          <w:tcPr>
            <w:tcW w:w="4920" w:type="dxa"/>
            <w:tcBorders>
              <w:top w:val="nil"/>
              <w:left w:val="nil"/>
              <w:bottom w:val="nil"/>
              <w:right w:val="nil"/>
            </w:tcBorders>
            <w:shd w:val="clear" w:color="auto" w:fill="auto"/>
            <w:noWrap/>
            <w:vAlign w:val="bottom"/>
            <w:hideMark/>
          </w:tcPr>
          <w:p w14:paraId="77FF93A4" w14:textId="77777777" w:rsidR="00B802AB" w:rsidRDefault="00B802AB">
            <w:pPr>
              <w:rPr>
                <w:rFonts w:ascii="Calibri Light" w:hAnsi="Calibri Light" w:cs="Arial"/>
                <w:sz w:val="22"/>
                <w:szCs w:val="22"/>
              </w:rPr>
            </w:pPr>
            <w:r>
              <w:rPr>
                <w:rFonts w:ascii="Calibri Light" w:hAnsi="Calibri Light" w:cs="Arial"/>
                <w:sz w:val="22"/>
                <w:szCs w:val="22"/>
              </w:rPr>
              <w:t>Revaluations</w:t>
            </w:r>
          </w:p>
        </w:tc>
        <w:tc>
          <w:tcPr>
            <w:tcW w:w="180" w:type="dxa"/>
            <w:tcBorders>
              <w:top w:val="nil"/>
              <w:left w:val="nil"/>
              <w:bottom w:val="nil"/>
              <w:right w:val="nil"/>
            </w:tcBorders>
            <w:shd w:val="clear" w:color="auto" w:fill="auto"/>
            <w:noWrap/>
            <w:vAlign w:val="bottom"/>
            <w:hideMark/>
          </w:tcPr>
          <w:p w14:paraId="22CFFC48" w14:textId="77777777" w:rsidR="00B802AB" w:rsidRDefault="00B802AB">
            <w:pPr>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200E19D2" w14:textId="2D25DF00"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3,076,415 </w:t>
            </w:r>
          </w:p>
        </w:tc>
        <w:tc>
          <w:tcPr>
            <w:tcW w:w="180" w:type="dxa"/>
            <w:tcBorders>
              <w:top w:val="nil"/>
              <w:left w:val="nil"/>
              <w:bottom w:val="nil"/>
              <w:right w:val="nil"/>
            </w:tcBorders>
            <w:shd w:val="clear" w:color="auto" w:fill="auto"/>
            <w:noWrap/>
            <w:vAlign w:val="bottom"/>
            <w:hideMark/>
          </w:tcPr>
          <w:p w14:paraId="58014196" w14:textId="77777777" w:rsidR="00B802AB" w:rsidRDefault="00B802AB" w:rsidP="00EE3FE4">
            <w:pPr>
              <w:jc w:val="right"/>
              <w:rPr>
                <w:rFonts w:ascii="Calibri Light" w:hAnsi="Calibri Light" w:cs="Arial"/>
                <w:sz w:val="22"/>
                <w:szCs w:val="22"/>
              </w:rPr>
            </w:pPr>
          </w:p>
        </w:tc>
        <w:tc>
          <w:tcPr>
            <w:tcW w:w="1540" w:type="dxa"/>
            <w:tcBorders>
              <w:top w:val="nil"/>
              <w:left w:val="nil"/>
              <w:bottom w:val="nil"/>
              <w:right w:val="nil"/>
            </w:tcBorders>
            <w:shd w:val="clear" w:color="auto" w:fill="auto"/>
            <w:noWrap/>
            <w:vAlign w:val="bottom"/>
            <w:hideMark/>
          </w:tcPr>
          <w:p w14:paraId="433E0F74" w14:textId="3186CE81"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   </w:t>
            </w:r>
          </w:p>
        </w:tc>
        <w:tc>
          <w:tcPr>
            <w:tcW w:w="180" w:type="dxa"/>
            <w:tcBorders>
              <w:top w:val="nil"/>
              <w:left w:val="nil"/>
              <w:bottom w:val="nil"/>
              <w:right w:val="nil"/>
            </w:tcBorders>
            <w:shd w:val="clear" w:color="auto" w:fill="auto"/>
            <w:noWrap/>
            <w:vAlign w:val="bottom"/>
            <w:hideMark/>
          </w:tcPr>
          <w:p w14:paraId="3EE3A790" w14:textId="77777777" w:rsidR="00B802AB" w:rsidRDefault="00B802AB" w:rsidP="00EE3FE4">
            <w:pPr>
              <w:jc w:val="right"/>
              <w:rPr>
                <w:rFonts w:ascii="Calibri Light" w:hAnsi="Calibri Light" w:cs="Arial"/>
                <w:sz w:val="22"/>
                <w:szCs w:val="22"/>
              </w:rPr>
            </w:pPr>
          </w:p>
        </w:tc>
        <w:tc>
          <w:tcPr>
            <w:tcW w:w="1420" w:type="dxa"/>
            <w:tcBorders>
              <w:top w:val="nil"/>
              <w:left w:val="nil"/>
              <w:bottom w:val="nil"/>
              <w:right w:val="nil"/>
            </w:tcBorders>
            <w:shd w:val="clear" w:color="auto" w:fill="auto"/>
            <w:noWrap/>
            <w:vAlign w:val="bottom"/>
            <w:hideMark/>
          </w:tcPr>
          <w:p w14:paraId="3EA011A9" w14:textId="7D799308"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3,076,415 </w:t>
            </w:r>
          </w:p>
        </w:tc>
      </w:tr>
      <w:tr w:rsidR="00B802AB" w14:paraId="76E94552" w14:textId="77777777" w:rsidTr="00B802AB">
        <w:trPr>
          <w:trHeight w:val="315"/>
        </w:trPr>
        <w:tc>
          <w:tcPr>
            <w:tcW w:w="4920" w:type="dxa"/>
            <w:tcBorders>
              <w:top w:val="nil"/>
              <w:left w:val="nil"/>
              <w:bottom w:val="nil"/>
              <w:right w:val="nil"/>
            </w:tcBorders>
            <w:shd w:val="clear" w:color="auto" w:fill="auto"/>
            <w:noWrap/>
            <w:vAlign w:val="bottom"/>
            <w:hideMark/>
          </w:tcPr>
          <w:p w14:paraId="27B1BA6E" w14:textId="77777777" w:rsidR="00B802AB" w:rsidRDefault="00B802AB">
            <w:pPr>
              <w:rPr>
                <w:rFonts w:ascii="Calibri Light" w:hAnsi="Calibri Light" w:cs="Arial"/>
                <w:b/>
                <w:bCs/>
                <w:sz w:val="22"/>
                <w:szCs w:val="22"/>
              </w:rPr>
            </w:pPr>
            <w:r>
              <w:rPr>
                <w:rFonts w:ascii="Calibri Light" w:hAnsi="Calibri Light" w:cs="Arial"/>
                <w:b/>
                <w:bCs/>
                <w:sz w:val="22"/>
                <w:szCs w:val="22"/>
              </w:rPr>
              <w:t>At 31 December 2021</w:t>
            </w:r>
          </w:p>
        </w:tc>
        <w:tc>
          <w:tcPr>
            <w:tcW w:w="180" w:type="dxa"/>
            <w:tcBorders>
              <w:top w:val="nil"/>
              <w:left w:val="nil"/>
              <w:bottom w:val="nil"/>
              <w:right w:val="nil"/>
            </w:tcBorders>
            <w:shd w:val="clear" w:color="auto" w:fill="auto"/>
            <w:noWrap/>
            <w:vAlign w:val="bottom"/>
            <w:hideMark/>
          </w:tcPr>
          <w:p w14:paraId="6849DD15" w14:textId="77777777" w:rsidR="00B802AB" w:rsidRDefault="00B802AB">
            <w:pPr>
              <w:rPr>
                <w:rFonts w:ascii="Calibri Light" w:hAnsi="Calibri Light" w:cs="Arial"/>
                <w:b/>
                <w:bCs/>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74B367A3" w14:textId="2036583D"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6,647,305 </w:t>
            </w:r>
          </w:p>
        </w:tc>
        <w:tc>
          <w:tcPr>
            <w:tcW w:w="180" w:type="dxa"/>
            <w:tcBorders>
              <w:top w:val="nil"/>
              <w:left w:val="nil"/>
              <w:bottom w:val="nil"/>
              <w:right w:val="nil"/>
            </w:tcBorders>
            <w:shd w:val="clear" w:color="auto" w:fill="auto"/>
            <w:noWrap/>
            <w:vAlign w:val="bottom"/>
            <w:hideMark/>
          </w:tcPr>
          <w:p w14:paraId="219BBF78" w14:textId="77777777" w:rsidR="00B802AB" w:rsidRDefault="00B802AB" w:rsidP="00EE3FE4">
            <w:pPr>
              <w:jc w:val="right"/>
              <w:rPr>
                <w:rFonts w:ascii="Calibri Light" w:hAnsi="Calibri Light" w:cs="Arial"/>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6F0D1DC1" w14:textId="5110D133"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50,000 </w:t>
            </w:r>
          </w:p>
        </w:tc>
        <w:tc>
          <w:tcPr>
            <w:tcW w:w="180" w:type="dxa"/>
            <w:tcBorders>
              <w:top w:val="nil"/>
              <w:left w:val="nil"/>
              <w:bottom w:val="nil"/>
              <w:right w:val="nil"/>
            </w:tcBorders>
            <w:shd w:val="clear" w:color="auto" w:fill="auto"/>
            <w:noWrap/>
            <w:vAlign w:val="bottom"/>
            <w:hideMark/>
          </w:tcPr>
          <w:p w14:paraId="653B7A09" w14:textId="77777777" w:rsidR="00B802AB" w:rsidRDefault="00B802AB" w:rsidP="00EE3FE4">
            <w:pPr>
              <w:jc w:val="right"/>
              <w:rPr>
                <w:rFonts w:ascii="Calibri Light" w:hAnsi="Calibri Light" w:cs="Arial"/>
                <w:sz w:val="22"/>
                <w:szCs w:val="22"/>
              </w:rPr>
            </w:pPr>
          </w:p>
        </w:tc>
        <w:tc>
          <w:tcPr>
            <w:tcW w:w="1420" w:type="dxa"/>
            <w:tcBorders>
              <w:top w:val="single" w:sz="4" w:space="0" w:color="auto"/>
              <w:left w:val="nil"/>
              <w:bottom w:val="double" w:sz="6" w:space="0" w:color="auto"/>
              <w:right w:val="nil"/>
            </w:tcBorders>
            <w:shd w:val="clear" w:color="auto" w:fill="auto"/>
            <w:noWrap/>
            <w:vAlign w:val="bottom"/>
            <w:hideMark/>
          </w:tcPr>
          <w:p w14:paraId="35C58E1A" w14:textId="3C0A88F3" w:rsidR="00B802AB" w:rsidRDefault="00B802AB" w:rsidP="00EE3FE4">
            <w:pPr>
              <w:jc w:val="right"/>
              <w:rPr>
                <w:rFonts w:ascii="Calibri Light" w:hAnsi="Calibri Light" w:cs="Arial"/>
                <w:sz w:val="22"/>
                <w:szCs w:val="22"/>
              </w:rPr>
            </w:pPr>
            <w:r>
              <w:rPr>
                <w:rFonts w:ascii="Calibri Light" w:hAnsi="Calibri Light" w:cs="Arial"/>
                <w:sz w:val="22"/>
                <w:szCs w:val="22"/>
              </w:rPr>
              <w:t xml:space="preserve">      6,697,305 </w:t>
            </w:r>
          </w:p>
        </w:tc>
      </w:tr>
    </w:tbl>
    <w:p w14:paraId="64400602" w14:textId="77777777" w:rsidR="00E94EC3" w:rsidRPr="006645AF" w:rsidRDefault="00E94EC3" w:rsidP="00405557">
      <w:pPr>
        <w:jc w:val="both"/>
        <w:rPr>
          <w:rFonts w:ascii="Calibri Light" w:hAnsi="Calibri Light" w:cs="Arial"/>
          <w:sz w:val="22"/>
          <w:szCs w:val="22"/>
        </w:rPr>
      </w:pPr>
    </w:p>
    <w:p w14:paraId="64400603" w14:textId="788FBB1E" w:rsidR="009E3CF7" w:rsidRPr="006645AF" w:rsidRDefault="009E3CF7" w:rsidP="00405557">
      <w:pPr>
        <w:jc w:val="both"/>
        <w:rPr>
          <w:rFonts w:ascii="Calibri Light" w:hAnsi="Calibri Light" w:cs="Calibri Light"/>
          <w:sz w:val="22"/>
          <w:szCs w:val="22"/>
        </w:rPr>
      </w:pPr>
      <w:r w:rsidRPr="006645AF">
        <w:rPr>
          <w:rFonts w:ascii="Calibri Light" w:hAnsi="Calibri Light" w:cs="Calibri Light"/>
          <w:sz w:val="22"/>
          <w:szCs w:val="22"/>
        </w:rPr>
        <w:t>The investment</w:t>
      </w:r>
      <w:r w:rsidR="00A16E87" w:rsidRPr="006645AF">
        <w:rPr>
          <w:rFonts w:ascii="Calibri Light" w:hAnsi="Calibri Light" w:cs="Calibri Light"/>
          <w:sz w:val="22"/>
          <w:szCs w:val="22"/>
        </w:rPr>
        <w:t>s in subsidiary undertakings</w:t>
      </w:r>
      <w:r w:rsidRPr="006645AF">
        <w:rPr>
          <w:rFonts w:ascii="Calibri Light" w:hAnsi="Calibri Light" w:cs="Calibri Light"/>
          <w:sz w:val="22"/>
          <w:szCs w:val="22"/>
        </w:rPr>
        <w:t xml:space="preserve"> </w:t>
      </w:r>
      <w:r w:rsidR="00A16E87" w:rsidRPr="006645AF">
        <w:rPr>
          <w:rFonts w:ascii="Calibri Light" w:hAnsi="Calibri Light" w:cs="Calibri Light"/>
          <w:sz w:val="22"/>
          <w:szCs w:val="22"/>
        </w:rPr>
        <w:t>are</w:t>
      </w:r>
      <w:r w:rsidRPr="006645AF">
        <w:rPr>
          <w:rFonts w:ascii="Calibri Light" w:hAnsi="Calibri Light" w:cs="Calibri Light"/>
          <w:sz w:val="22"/>
          <w:szCs w:val="22"/>
        </w:rPr>
        <w:t xml:space="preserve"> accounted for at fair value through the profit and loss, as the Company is deemed to be an Investment Entity.</w:t>
      </w:r>
    </w:p>
    <w:p w14:paraId="64400604" w14:textId="77777777" w:rsidR="009E3CF7" w:rsidRPr="006645AF" w:rsidRDefault="009E3CF7" w:rsidP="009E3CF7">
      <w:pPr>
        <w:rPr>
          <w:rFonts w:ascii="Calibri Light" w:hAnsi="Calibri Light" w:cs="Calibri Light"/>
          <w:sz w:val="22"/>
          <w:szCs w:val="22"/>
        </w:rPr>
      </w:pPr>
    </w:p>
    <w:p w14:paraId="64400631" w14:textId="77777777" w:rsidR="00B86756" w:rsidRPr="006645AF" w:rsidRDefault="00064C98" w:rsidP="004F357C">
      <w:pPr>
        <w:numPr>
          <w:ilvl w:val="0"/>
          <w:numId w:val="1"/>
        </w:numPr>
        <w:rPr>
          <w:rFonts w:ascii="Calibri Light" w:hAnsi="Calibri Light" w:cs="Calibri Light"/>
          <w:b/>
          <w:sz w:val="22"/>
          <w:szCs w:val="22"/>
        </w:rPr>
      </w:pPr>
      <w:r w:rsidRPr="006645AF">
        <w:rPr>
          <w:rFonts w:ascii="Calibri Light" w:hAnsi="Calibri Light" w:cs="Calibri Light"/>
          <w:b/>
          <w:sz w:val="22"/>
          <w:szCs w:val="22"/>
        </w:rPr>
        <w:t>Dividends</w:t>
      </w:r>
    </w:p>
    <w:p w14:paraId="64400632" w14:textId="77777777" w:rsidR="00064C98" w:rsidRPr="006645AF" w:rsidRDefault="00064C98" w:rsidP="00064C98">
      <w:pPr>
        <w:rPr>
          <w:rFonts w:ascii="Calibri Light" w:hAnsi="Calibri Light" w:cs="Calibri Light"/>
          <w:sz w:val="22"/>
          <w:szCs w:val="22"/>
        </w:rPr>
      </w:pPr>
      <w:r w:rsidRPr="006645AF">
        <w:rPr>
          <w:rFonts w:ascii="Calibri Light" w:hAnsi="Calibri Light" w:cs="Calibri Light"/>
          <w:sz w:val="22"/>
          <w:szCs w:val="22"/>
        </w:rPr>
        <w:t>The directors do not propose to declare a dividend for the period.</w:t>
      </w:r>
    </w:p>
    <w:p w14:paraId="64400634" w14:textId="77777777" w:rsidR="007A51AD" w:rsidRPr="006645AF" w:rsidRDefault="007A51AD" w:rsidP="007A51AD">
      <w:pPr>
        <w:rPr>
          <w:rFonts w:ascii="Calibri Light" w:hAnsi="Calibri Light" w:cs="Calibri Light"/>
          <w:sz w:val="22"/>
          <w:szCs w:val="22"/>
        </w:rPr>
      </w:pPr>
    </w:p>
    <w:p w14:paraId="64400635" w14:textId="5B4F0903" w:rsidR="00C04222" w:rsidRPr="006645AF" w:rsidRDefault="00C04222" w:rsidP="00C04222">
      <w:pPr>
        <w:numPr>
          <w:ilvl w:val="0"/>
          <w:numId w:val="1"/>
        </w:numPr>
        <w:rPr>
          <w:rFonts w:ascii="Calibri Light" w:hAnsi="Calibri Light" w:cs="Calibri Light"/>
          <w:b/>
          <w:sz w:val="22"/>
          <w:szCs w:val="22"/>
        </w:rPr>
      </w:pPr>
      <w:r w:rsidRPr="006645AF">
        <w:rPr>
          <w:rFonts w:ascii="Calibri Light" w:hAnsi="Calibri Light" w:cs="Calibri Light"/>
          <w:b/>
          <w:sz w:val="22"/>
          <w:szCs w:val="22"/>
        </w:rPr>
        <w:t>Copies of interim results</w:t>
      </w:r>
    </w:p>
    <w:p w14:paraId="64400636" w14:textId="6D473F41" w:rsidR="00C04222" w:rsidRPr="006645AF" w:rsidRDefault="00C04222" w:rsidP="00734BB4">
      <w:pPr>
        <w:jc w:val="both"/>
        <w:rPr>
          <w:rFonts w:ascii="Calibri Light" w:hAnsi="Calibri Light" w:cs="Calibri Light"/>
          <w:sz w:val="22"/>
          <w:szCs w:val="22"/>
        </w:rPr>
      </w:pPr>
      <w:r w:rsidRPr="006645AF">
        <w:rPr>
          <w:rFonts w:ascii="Calibri Light" w:hAnsi="Calibri Light" w:cs="Calibri Light"/>
          <w:sz w:val="22"/>
          <w:szCs w:val="22"/>
        </w:rPr>
        <w:t>Copies of the interim results can be obtained from the website</w:t>
      </w:r>
      <w:r w:rsidR="005779CD">
        <w:rPr>
          <w:rFonts w:ascii="Calibri Light" w:hAnsi="Calibri Light" w:cs="Calibri Light"/>
          <w:sz w:val="22"/>
          <w:szCs w:val="22"/>
        </w:rPr>
        <w:t xml:space="preserve"> </w:t>
      </w:r>
      <w:hyperlink r:id="rId13" w:history="1">
        <w:r w:rsidR="00B34AC5" w:rsidRPr="000B4F9F">
          <w:rPr>
            <w:rStyle w:val="Hyperlink"/>
            <w:rFonts w:ascii="Calibri Light" w:hAnsi="Calibri Light" w:cs="Calibri Light"/>
            <w:sz w:val="22"/>
            <w:szCs w:val="22"/>
          </w:rPr>
          <w:t>www.prospex.energy</w:t>
        </w:r>
      </w:hyperlink>
      <w:r w:rsidR="00B34AC5">
        <w:rPr>
          <w:rFonts w:ascii="Calibri Light" w:hAnsi="Calibri Light" w:cs="Calibri Light"/>
          <w:sz w:val="22"/>
          <w:szCs w:val="22"/>
        </w:rPr>
        <w:t>.</w:t>
      </w:r>
      <w:r w:rsidRPr="006645AF">
        <w:rPr>
          <w:rFonts w:ascii="Calibri Light" w:hAnsi="Calibri Light" w:cs="Calibri Light"/>
          <w:sz w:val="22"/>
          <w:szCs w:val="22"/>
        </w:rPr>
        <w:t xml:space="preserve"> </w:t>
      </w:r>
      <w:r w:rsidR="00B34AC5">
        <w:rPr>
          <w:rFonts w:ascii="Calibri Light" w:hAnsi="Calibri Light" w:cs="Calibri Light"/>
          <w:sz w:val="22"/>
          <w:szCs w:val="22"/>
        </w:rPr>
        <w:t xml:space="preserve"> </w:t>
      </w:r>
      <w:r w:rsidRPr="006645AF">
        <w:rPr>
          <w:rFonts w:ascii="Calibri Light" w:hAnsi="Calibri Light" w:cs="Calibri Light"/>
          <w:sz w:val="22"/>
          <w:szCs w:val="22"/>
        </w:rPr>
        <w:t>From this site you may access our financial reports and presentations, recent press releases and details about the company and its operations.</w:t>
      </w:r>
    </w:p>
    <w:p w14:paraId="64400637" w14:textId="77777777" w:rsidR="00C04222" w:rsidRPr="006645AF" w:rsidRDefault="00C04222" w:rsidP="00064C98">
      <w:pPr>
        <w:rPr>
          <w:rFonts w:ascii="Calibri Light" w:hAnsi="Calibri Light" w:cs="Arial"/>
          <w:sz w:val="22"/>
          <w:szCs w:val="22"/>
        </w:rPr>
      </w:pPr>
    </w:p>
    <w:sectPr w:rsidR="00C04222" w:rsidRPr="006645AF" w:rsidSect="00194E1A">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111C" w14:textId="77777777" w:rsidR="0003268C" w:rsidRDefault="0003268C" w:rsidP="001008F0">
      <w:r>
        <w:separator/>
      </w:r>
    </w:p>
  </w:endnote>
  <w:endnote w:type="continuationSeparator" w:id="0">
    <w:p w14:paraId="5F944881" w14:textId="77777777" w:rsidR="0003268C" w:rsidRDefault="0003268C" w:rsidP="001008F0">
      <w:r>
        <w:continuationSeparator/>
      </w:r>
    </w:p>
  </w:endnote>
  <w:endnote w:type="continuationNotice" w:id="1">
    <w:p w14:paraId="7A99F98A" w14:textId="77777777" w:rsidR="0003268C" w:rsidRDefault="0003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583" w14:textId="77F5CAA3" w:rsidR="00530755" w:rsidRPr="00530755" w:rsidRDefault="00530755">
    <w:pPr>
      <w:pStyle w:val="Footer"/>
      <w:rPr>
        <w:rFonts w:ascii="Calibri" w:hAnsi="Calibri" w:cs="Calibri"/>
        <w:sz w:val="22"/>
        <w:szCs w:val="22"/>
      </w:rPr>
    </w:pPr>
    <w:r>
      <w:rPr>
        <w:rFonts w:ascii="Calibri" w:hAnsi="Calibri" w:cs="Calibri"/>
        <w:sz w:val="22"/>
        <w:szCs w:val="22"/>
      </w:rPr>
      <w:tab/>
    </w:r>
    <w:r>
      <w:rPr>
        <w:rFonts w:ascii="Calibri" w:hAnsi="Calibri" w:cs="Calibri"/>
        <w:sz w:val="22"/>
        <w:szCs w:val="22"/>
      </w:rPr>
      <w:fldChar w:fldCharType="begin"/>
    </w:r>
    <w:r>
      <w:rPr>
        <w:rFonts w:ascii="Calibri" w:hAnsi="Calibri" w:cs="Calibri"/>
        <w:sz w:val="22"/>
        <w:szCs w:val="22"/>
      </w:rPr>
      <w:instrText xml:space="preserve"> PAGE  \* Arabic  \* MERGEFORMAT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4BD9" w14:textId="77777777" w:rsidR="0003268C" w:rsidRDefault="0003268C" w:rsidP="001008F0">
      <w:r>
        <w:separator/>
      </w:r>
    </w:p>
  </w:footnote>
  <w:footnote w:type="continuationSeparator" w:id="0">
    <w:p w14:paraId="68196603" w14:textId="77777777" w:rsidR="0003268C" w:rsidRDefault="0003268C" w:rsidP="001008F0">
      <w:r>
        <w:continuationSeparator/>
      </w:r>
    </w:p>
  </w:footnote>
  <w:footnote w:type="continuationNotice" w:id="1">
    <w:p w14:paraId="0207460C" w14:textId="77777777" w:rsidR="0003268C" w:rsidRDefault="000326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88C"/>
    <w:multiLevelType w:val="hybridMultilevel"/>
    <w:tmpl w:val="ED44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2EC4"/>
    <w:multiLevelType w:val="hybridMultilevel"/>
    <w:tmpl w:val="B98825B2"/>
    <w:lvl w:ilvl="0" w:tplc="84DA1BF4">
      <w:numFmt w:val="bullet"/>
      <w:lvlText w:val=""/>
      <w:lvlJc w:val="left"/>
      <w:pPr>
        <w:ind w:left="910" w:hanging="360"/>
      </w:pPr>
      <w:rPr>
        <w:rFonts w:ascii="Symbol" w:eastAsia="Symbol" w:hAnsi="Symbol" w:cs="Symbol" w:hint="default"/>
        <w:b w:val="0"/>
        <w:bCs w:val="0"/>
        <w:i w:val="0"/>
        <w:iCs w:val="0"/>
        <w:w w:val="100"/>
        <w:sz w:val="22"/>
        <w:szCs w:val="22"/>
        <w:lang w:val="en-GB" w:eastAsia="en-US" w:bidi="ar-SA"/>
      </w:rPr>
    </w:lvl>
    <w:lvl w:ilvl="1" w:tplc="E9BA0350">
      <w:numFmt w:val="bullet"/>
      <w:lvlText w:val="•"/>
      <w:lvlJc w:val="left"/>
      <w:pPr>
        <w:ind w:left="1814" w:hanging="360"/>
      </w:pPr>
      <w:rPr>
        <w:lang w:val="en-GB" w:eastAsia="en-US" w:bidi="ar-SA"/>
      </w:rPr>
    </w:lvl>
    <w:lvl w:ilvl="2" w:tplc="85EE71EA">
      <w:numFmt w:val="bullet"/>
      <w:lvlText w:val="•"/>
      <w:lvlJc w:val="left"/>
      <w:pPr>
        <w:ind w:left="2708" w:hanging="360"/>
      </w:pPr>
      <w:rPr>
        <w:lang w:val="en-GB" w:eastAsia="en-US" w:bidi="ar-SA"/>
      </w:rPr>
    </w:lvl>
    <w:lvl w:ilvl="3" w:tplc="B7EA0FE6">
      <w:numFmt w:val="bullet"/>
      <w:lvlText w:val="•"/>
      <w:lvlJc w:val="left"/>
      <w:pPr>
        <w:ind w:left="3602" w:hanging="360"/>
      </w:pPr>
      <w:rPr>
        <w:lang w:val="en-GB" w:eastAsia="en-US" w:bidi="ar-SA"/>
      </w:rPr>
    </w:lvl>
    <w:lvl w:ilvl="4" w:tplc="65864E80">
      <w:numFmt w:val="bullet"/>
      <w:lvlText w:val="•"/>
      <w:lvlJc w:val="left"/>
      <w:pPr>
        <w:ind w:left="4496" w:hanging="360"/>
      </w:pPr>
      <w:rPr>
        <w:lang w:val="en-GB" w:eastAsia="en-US" w:bidi="ar-SA"/>
      </w:rPr>
    </w:lvl>
    <w:lvl w:ilvl="5" w:tplc="DF4ABF26">
      <w:numFmt w:val="bullet"/>
      <w:lvlText w:val="•"/>
      <w:lvlJc w:val="left"/>
      <w:pPr>
        <w:ind w:left="5390" w:hanging="360"/>
      </w:pPr>
      <w:rPr>
        <w:lang w:val="en-GB" w:eastAsia="en-US" w:bidi="ar-SA"/>
      </w:rPr>
    </w:lvl>
    <w:lvl w:ilvl="6" w:tplc="94CA8D40">
      <w:numFmt w:val="bullet"/>
      <w:lvlText w:val="•"/>
      <w:lvlJc w:val="left"/>
      <w:pPr>
        <w:ind w:left="6284" w:hanging="360"/>
      </w:pPr>
      <w:rPr>
        <w:lang w:val="en-GB" w:eastAsia="en-US" w:bidi="ar-SA"/>
      </w:rPr>
    </w:lvl>
    <w:lvl w:ilvl="7" w:tplc="49886306">
      <w:numFmt w:val="bullet"/>
      <w:lvlText w:val="•"/>
      <w:lvlJc w:val="left"/>
      <w:pPr>
        <w:ind w:left="7178" w:hanging="360"/>
      </w:pPr>
      <w:rPr>
        <w:lang w:val="en-GB" w:eastAsia="en-US" w:bidi="ar-SA"/>
      </w:rPr>
    </w:lvl>
    <w:lvl w:ilvl="8" w:tplc="486E106A">
      <w:numFmt w:val="bullet"/>
      <w:lvlText w:val="•"/>
      <w:lvlJc w:val="left"/>
      <w:pPr>
        <w:ind w:left="8072" w:hanging="360"/>
      </w:pPr>
      <w:rPr>
        <w:lang w:val="en-GB" w:eastAsia="en-US" w:bidi="ar-SA"/>
      </w:rPr>
    </w:lvl>
  </w:abstractNum>
  <w:abstractNum w:abstractNumId="2" w15:restartNumberingAfterBreak="0">
    <w:nsid w:val="28114D46"/>
    <w:multiLevelType w:val="hybridMultilevel"/>
    <w:tmpl w:val="931E8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FB3FB3"/>
    <w:multiLevelType w:val="hybridMultilevel"/>
    <w:tmpl w:val="08B0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E5C48"/>
    <w:multiLevelType w:val="hybridMultilevel"/>
    <w:tmpl w:val="B7C8EBA8"/>
    <w:lvl w:ilvl="0" w:tplc="192E55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A57787"/>
    <w:multiLevelType w:val="hybridMultilevel"/>
    <w:tmpl w:val="7FE4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0B245E"/>
    <w:multiLevelType w:val="hybridMultilevel"/>
    <w:tmpl w:val="CDC81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4884483">
    <w:abstractNumId w:val="4"/>
  </w:num>
  <w:num w:numId="2" w16cid:durableId="2093812831">
    <w:abstractNumId w:val="5"/>
  </w:num>
  <w:num w:numId="3" w16cid:durableId="115564618">
    <w:abstractNumId w:val="6"/>
  </w:num>
  <w:num w:numId="4" w16cid:durableId="95298200">
    <w:abstractNumId w:val="1"/>
  </w:num>
  <w:num w:numId="5" w16cid:durableId="860436956">
    <w:abstractNumId w:val="0"/>
  </w:num>
  <w:num w:numId="6" w16cid:durableId="221255745">
    <w:abstractNumId w:val="3"/>
  </w:num>
  <w:num w:numId="7" w16cid:durableId="675306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7C"/>
    <w:rsid w:val="00000A7C"/>
    <w:rsid w:val="0000189E"/>
    <w:rsid w:val="00002B42"/>
    <w:rsid w:val="000057E5"/>
    <w:rsid w:val="000058B4"/>
    <w:rsid w:val="00005C50"/>
    <w:rsid w:val="0000600C"/>
    <w:rsid w:val="00006C49"/>
    <w:rsid w:val="00006F8B"/>
    <w:rsid w:val="00010A87"/>
    <w:rsid w:val="00012240"/>
    <w:rsid w:val="000130CC"/>
    <w:rsid w:val="00013448"/>
    <w:rsid w:val="00013EA6"/>
    <w:rsid w:val="00014527"/>
    <w:rsid w:val="0001523E"/>
    <w:rsid w:val="000166BC"/>
    <w:rsid w:val="00016863"/>
    <w:rsid w:val="00016D8A"/>
    <w:rsid w:val="00017F36"/>
    <w:rsid w:val="000200B7"/>
    <w:rsid w:val="00022B06"/>
    <w:rsid w:val="00022B7B"/>
    <w:rsid w:val="00022F4F"/>
    <w:rsid w:val="00024BD8"/>
    <w:rsid w:val="00025B7F"/>
    <w:rsid w:val="0002678D"/>
    <w:rsid w:val="000267EA"/>
    <w:rsid w:val="0002742D"/>
    <w:rsid w:val="000313EA"/>
    <w:rsid w:val="00032038"/>
    <w:rsid w:val="000322E0"/>
    <w:rsid w:val="0003268C"/>
    <w:rsid w:val="000330A1"/>
    <w:rsid w:val="000379AB"/>
    <w:rsid w:val="000401B7"/>
    <w:rsid w:val="000415E3"/>
    <w:rsid w:val="00042DD2"/>
    <w:rsid w:val="00042F1C"/>
    <w:rsid w:val="00044776"/>
    <w:rsid w:val="00045C2D"/>
    <w:rsid w:val="00047130"/>
    <w:rsid w:val="0004749C"/>
    <w:rsid w:val="000476A6"/>
    <w:rsid w:val="00047EA8"/>
    <w:rsid w:val="0005225D"/>
    <w:rsid w:val="000537FE"/>
    <w:rsid w:val="00053A6A"/>
    <w:rsid w:val="00055D02"/>
    <w:rsid w:val="00057D67"/>
    <w:rsid w:val="0006164F"/>
    <w:rsid w:val="00061805"/>
    <w:rsid w:val="00063164"/>
    <w:rsid w:val="000647FD"/>
    <w:rsid w:val="00064AE1"/>
    <w:rsid w:val="00064C98"/>
    <w:rsid w:val="00065E0A"/>
    <w:rsid w:val="00065FC3"/>
    <w:rsid w:val="0006661D"/>
    <w:rsid w:val="000668F3"/>
    <w:rsid w:val="00067EA4"/>
    <w:rsid w:val="000720E6"/>
    <w:rsid w:val="00072FDD"/>
    <w:rsid w:val="000738B6"/>
    <w:rsid w:val="00073BBA"/>
    <w:rsid w:val="00073F9C"/>
    <w:rsid w:val="0007612C"/>
    <w:rsid w:val="000761BD"/>
    <w:rsid w:val="0008074B"/>
    <w:rsid w:val="000807A4"/>
    <w:rsid w:val="00082442"/>
    <w:rsid w:val="0008394A"/>
    <w:rsid w:val="00084D76"/>
    <w:rsid w:val="0008799D"/>
    <w:rsid w:val="00087D64"/>
    <w:rsid w:val="00090FFE"/>
    <w:rsid w:val="0009200E"/>
    <w:rsid w:val="00092614"/>
    <w:rsid w:val="000948D6"/>
    <w:rsid w:val="0009680F"/>
    <w:rsid w:val="00097344"/>
    <w:rsid w:val="000A16C7"/>
    <w:rsid w:val="000A1A06"/>
    <w:rsid w:val="000A3D0A"/>
    <w:rsid w:val="000A456C"/>
    <w:rsid w:val="000A6206"/>
    <w:rsid w:val="000A6626"/>
    <w:rsid w:val="000B35DA"/>
    <w:rsid w:val="000B3E32"/>
    <w:rsid w:val="000B3F78"/>
    <w:rsid w:val="000B4912"/>
    <w:rsid w:val="000B510F"/>
    <w:rsid w:val="000B6502"/>
    <w:rsid w:val="000B671A"/>
    <w:rsid w:val="000B6E08"/>
    <w:rsid w:val="000C1436"/>
    <w:rsid w:val="000C35FC"/>
    <w:rsid w:val="000C4037"/>
    <w:rsid w:val="000C4F19"/>
    <w:rsid w:val="000C58A4"/>
    <w:rsid w:val="000C75B0"/>
    <w:rsid w:val="000D0646"/>
    <w:rsid w:val="000D10D9"/>
    <w:rsid w:val="000D26A8"/>
    <w:rsid w:val="000D3438"/>
    <w:rsid w:val="000D3E3B"/>
    <w:rsid w:val="000D4539"/>
    <w:rsid w:val="000D4CF3"/>
    <w:rsid w:val="000D51AB"/>
    <w:rsid w:val="000E0CF9"/>
    <w:rsid w:val="000E0ECB"/>
    <w:rsid w:val="000E0F01"/>
    <w:rsid w:val="000E105F"/>
    <w:rsid w:val="000E23D0"/>
    <w:rsid w:val="000E3212"/>
    <w:rsid w:val="000E45DA"/>
    <w:rsid w:val="000E4F73"/>
    <w:rsid w:val="000E5691"/>
    <w:rsid w:val="000E5CAE"/>
    <w:rsid w:val="000E5F24"/>
    <w:rsid w:val="000E75D6"/>
    <w:rsid w:val="000F1483"/>
    <w:rsid w:val="000F3231"/>
    <w:rsid w:val="000F3316"/>
    <w:rsid w:val="000F3BFF"/>
    <w:rsid w:val="000F412D"/>
    <w:rsid w:val="000F4251"/>
    <w:rsid w:val="000F5DF7"/>
    <w:rsid w:val="001008F0"/>
    <w:rsid w:val="001010FB"/>
    <w:rsid w:val="001021A7"/>
    <w:rsid w:val="0010728C"/>
    <w:rsid w:val="00107CAB"/>
    <w:rsid w:val="00110396"/>
    <w:rsid w:val="001127BB"/>
    <w:rsid w:val="001132E4"/>
    <w:rsid w:val="001142A5"/>
    <w:rsid w:val="00114410"/>
    <w:rsid w:val="00116B24"/>
    <w:rsid w:val="00116B59"/>
    <w:rsid w:val="0012003D"/>
    <w:rsid w:val="001201AA"/>
    <w:rsid w:val="001204EC"/>
    <w:rsid w:val="001216A8"/>
    <w:rsid w:val="00121FD5"/>
    <w:rsid w:val="001226FE"/>
    <w:rsid w:val="00123D9A"/>
    <w:rsid w:val="00124332"/>
    <w:rsid w:val="00124A54"/>
    <w:rsid w:val="00124FFB"/>
    <w:rsid w:val="00125B3D"/>
    <w:rsid w:val="0013086B"/>
    <w:rsid w:val="0013258C"/>
    <w:rsid w:val="001327BF"/>
    <w:rsid w:val="001329B2"/>
    <w:rsid w:val="00134FD9"/>
    <w:rsid w:val="001351C7"/>
    <w:rsid w:val="001400F7"/>
    <w:rsid w:val="001409A4"/>
    <w:rsid w:val="00141CF6"/>
    <w:rsid w:val="00143117"/>
    <w:rsid w:val="0014338D"/>
    <w:rsid w:val="0014399A"/>
    <w:rsid w:val="00143AAF"/>
    <w:rsid w:val="001452EF"/>
    <w:rsid w:val="001456A4"/>
    <w:rsid w:val="00145DC2"/>
    <w:rsid w:val="001466E2"/>
    <w:rsid w:val="001471D3"/>
    <w:rsid w:val="0014788A"/>
    <w:rsid w:val="001511BF"/>
    <w:rsid w:val="0015169D"/>
    <w:rsid w:val="001517C9"/>
    <w:rsid w:val="00152504"/>
    <w:rsid w:val="00152E58"/>
    <w:rsid w:val="00156524"/>
    <w:rsid w:val="001571E5"/>
    <w:rsid w:val="00161E68"/>
    <w:rsid w:val="0016382E"/>
    <w:rsid w:val="001658E8"/>
    <w:rsid w:val="001662BB"/>
    <w:rsid w:val="00167282"/>
    <w:rsid w:val="00167AD0"/>
    <w:rsid w:val="0017043A"/>
    <w:rsid w:val="00170891"/>
    <w:rsid w:val="00171649"/>
    <w:rsid w:val="00173776"/>
    <w:rsid w:val="00173D90"/>
    <w:rsid w:val="00174340"/>
    <w:rsid w:val="00174705"/>
    <w:rsid w:val="001765E9"/>
    <w:rsid w:val="00180D4B"/>
    <w:rsid w:val="00181ACB"/>
    <w:rsid w:val="00181B07"/>
    <w:rsid w:val="00181D72"/>
    <w:rsid w:val="001829CF"/>
    <w:rsid w:val="00183630"/>
    <w:rsid w:val="001846C5"/>
    <w:rsid w:val="0018493A"/>
    <w:rsid w:val="00187B3A"/>
    <w:rsid w:val="00190025"/>
    <w:rsid w:val="00190127"/>
    <w:rsid w:val="00190F4B"/>
    <w:rsid w:val="00192C0F"/>
    <w:rsid w:val="001941F6"/>
    <w:rsid w:val="001949E4"/>
    <w:rsid w:val="00194E1A"/>
    <w:rsid w:val="001965B4"/>
    <w:rsid w:val="001A1926"/>
    <w:rsid w:val="001A232D"/>
    <w:rsid w:val="001A2EB3"/>
    <w:rsid w:val="001A317D"/>
    <w:rsid w:val="001A5468"/>
    <w:rsid w:val="001A58DD"/>
    <w:rsid w:val="001A6329"/>
    <w:rsid w:val="001B13E2"/>
    <w:rsid w:val="001B2B1D"/>
    <w:rsid w:val="001B35EB"/>
    <w:rsid w:val="001B4180"/>
    <w:rsid w:val="001B4713"/>
    <w:rsid w:val="001B48CE"/>
    <w:rsid w:val="001B64C8"/>
    <w:rsid w:val="001B736B"/>
    <w:rsid w:val="001B797D"/>
    <w:rsid w:val="001B7B88"/>
    <w:rsid w:val="001C09F5"/>
    <w:rsid w:val="001C2B79"/>
    <w:rsid w:val="001C385D"/>
    <w:rsid w:val="001C3CAB"/>
    <w:rsid w:val="001C7EF6"/>
    <w:rsid w:val="001D1ED9"/>
    <w:rsid w:val="001D61B9"/>
    <w:rsid w:val="001D6B61"/>
    <w:rsid w:val="001D72A4"/>
    <w:rsid w:val="001E0228"/>
    <w:rsid w:val="001E1207"/>
    <w:rsid w:val="001E2DB0"/>
    <w:rsid w:val="001E3008"/>
    <w:rsid w:val="001E3657"/>
    <w:rsid w:val="001E4E83"/>
    <w:rsid w:val="001E58DC"/>
    <w:rsid w:val="001E58F8"/>
    <w:rsid w:val="001E67D6"/>
    <w:rsid w:val="001E69F4"/>
    <w:rsid w:val="001F19C8"/>
    <w:rsid w:val="001F253C"/>
    <w:rsid w:val="001F35E4"/>
    <w:rsid w:val="001F3A70"/>
    <w:rsid w:val="001F40BE"/>
    <w:rsid w:val="001F4354"/>
    <w:rsid w:val="001F43B7"/>
    <w:rsid w:val="001F6AB7"/>
    <w:rsid w:val="00201666"/>
    <w:rsid w:val="002034D3"/>
    <w:rsid w:val="0020465E"/>
    <w:rsid w:val="00205FBB"/>
    <w:rsid w:val="0020624D"/>
    <w:rsid w:val="00206F39"/>
    <w:rsid w:val="00207269"/>
    <w:rsid w:val="00210576"/>
    <w:rsid w:val="0021095F"/>
    <w:rsid w:val="002144F8"/>
    <w:rsid w:val="00214A04"/>
    <w:rsid w:val="002154AE"/>
    <w:rsid w:val="00216A89"/>
    <w:rsid w:val="00220468"/>
    <w:rsid w:val="00220FEE"/>
    <w:rsid w:val="00222811"/>
    <w:rsid w:val="002234C6"/>
    <w:rsid w:val="00223C6E"/>
    <w:rsid w:val="0022577F"/>
    <w:rsid w:val="00226357"/>
    <w:rsid w:val="002276B8"/>
    <w:rsid w:val="00230547"/>
    <w:rsid w:val="00231A15"/>
    <w:rsid w:val="00232C42"/>
    <w:rsid w:val="00232CB3"/>
    <w:rsid w:val="0023593B"/>
    <w:rsid w:val="00235C35"/>
    <w:rsid w:val="00236B74"/>
    <w:rsid w:val="002378E4"/>
    <w:rsid w:val="00237E93"/>
    <w:rsid w:val="00240074"/>
    <w:rsid w:val="00243DEA"/>
    <w:rsid w:val="00244147"/>
    <w:rsid w:val="00245183"/>
    <w:rsid w:val="002457BE"/>
    <w:rsid w:val="002478E5"/>
    <w:rsid w:val="00247B86"/>
    <w:rsid w:val="00247F17"/>
    <w:rsid w:val="002506F7"/>
    <w:rsid w:val="00250A55"/>
    <w:rsid w:val="002518CC"/>
    <w:rsid w:val="0025217A"/>
    <w:rsid w:val="00252A42"/>
    <w:rsid w:val="0025335E"/>
    <w:rsid w:val="002544CD"/>
    <w:rsid w:val="00254E2D"/>
    <w:rsid w:val="00254E6A"/>
    <w:rsid w:val="00255B7F"/>
    <w:rsid w:val="00261FEE"/>
    <w:rsid w:val="0026223B"/>
    <w:rsid w:val="00262688"/>
    <w:rsid w:val="00262A0E"/>
    <w:rsid w:val="00263AF8"/>
    <w:rsid w:val="002666E6"/>
    <w:rsid w:val="00267CF2"/>
    <w:rsid w:val="00270DEC"/>
    <w:rsid w:val="00270F8A"/>
    <w:rsid w:val="00271987"/>
    <w:rsid w:val="0027275E"/>
    <w:rsid w:val="00272FC0"/>
    <w:rsid w:val="00276EB6"/>
    <w:rsid w:val="00277885"/>
    <w:rsid w:val="0028059E"/>
    <w:rsid w:val="00282FE8"/>
    <w:rsid w:val="00284589"/>
    <w:rsid w:val="00285D2D"/>
    <w:rsid w:val="00285EBD"/>
    <w:rsid w:val="00286CB5"/>
    <w:rsid w:val="00286D5C"/>
    <w:rsid w:val="0029061D"/>
    <w:rsid w:val="002911DD"/>
    <w:rsid w:val="00293CD4"/>
    <w:rsid w:val="002944F1"/>
    <w:rsid w:val="00295020"/>
    <w:rsid w:val="00295F85"/>
    <w:rsid w:val="00296727"/>
    <w:rsid w:val="002A01BF"/>
    <w:rsid w:val="002A133D"/>
    <w:rsid w:val="002A148B"/>
    <w:rsid w:val="002A26BE"/>
    <w:rsid w:val="002A4B2C"/>
    <w:rsid w:val="002A6FD1"/>
    <w:rsid w:val="002B350E"/>
    <w:rsid w:val="002B3AC9"/>
    <w:rsid w:val="002B4BA5"/>
    <w:rsid w:val="002B4CCC"/>
    <w:rsid w:val="002B7613"/>
    <w:rsid w:val="002C0525"/>
    <w:rsid w:val="002C307D"/>
    <w:rsid w:val="002C3A8C"/>
    <w:rsid w:val="002C56C4"/>
    <w:rsid w:val="002C5A5C"/>
    <w:rsid w:val="002C6779"/>
    <w:rsid w:val="002C71FE"/>
    <w:rsid w:val="002D13B9"/>
    <w:rsid w:val="002D1BE9"/>
    <w:rsid w:val="002D28C6"/>
    <w:rsid w:val="002D39D9"/>
    <w:rsid w:val="002D45ED"/>
    <w:rsid w:val="002D486A"/>
    <w:rsid w:val="002D4F5C"/>
    <w:rsid w:val="002E0FAB"/>
    <w:rsid w:val="002E343F"/>
    <w:rsid w:val="002E476F"/>
    <w:rsid w:val="002E583B"/>
    <w:rsid w:val="002E5BE1"/>
    <w:rsid w:val="002E6CD7"/>
    <w:rsid w:val="002E729D"/>
    <w:rsid w:val="002F0599"/>
    <w:rsid w:val="002F0D3C"/>
    <w:rsid w:val="002F1CF0"/>
    <w:rsid w:val="002F240D"/>
    <w:rsid w:val="002F6BE8"/>
    <w:rsid w:val="002F7FED"/>
    <w:rsid w:val="00300CE8"/>
    <w:rsid w:val="00303010"/>
    <w:rsid w:val="003030D7"/>
    <w:rsid w:val="003033A0"/>
    <w:rsid w:val="00303A5F"/>
    <w:rsid w:val="00303BC9"/>
    <w:rsid w:val="00303C22"/>
    <w:rsid w:val="00304155"/>
    <w:rsid w:val="00304CB5"/>
    <w:rsid w:val="00306DEA"/>
    <w:rsid w:val="00311F49"/>
    <w:rsid w:val="00313057"/>
    <w:rsid w:val="003148A7"/>
    <w:rsid w:val="00314A9E"/>
    <w:rsid w:val="00315A29"/>
    <w:rsid w:val="003175CA"/>
    <w:rsid w:val="003200AD"/>
    <w:rsid w:val="00320ED7"/>
    <w:rsid w:val="0032312F"/>
    <w:rsid w:val="003239BE"/>
    <w:rsid w:val="003254F6"/>
    <w:rsid w:val="003256D8"/>
    <w:rsid w:val="00325773"/>
    <w:rsid w:val="0032590B"/>
    <w:rsid w:val="00325D3A"/>
    <w:rsid w:val="003312DB"/>
    <w:rsid w:val="00331617"/>
    <w:rsid w:val="00333008"/>
    <w:rsid w:val="0033383D"/>
    <w:rsid w:val="00334B47"/>
    <w:rsid w:val="003358BF"/>
    <w:rsid w:val="003361F5"/>
    <w:rsid w:val="003374DC"/>
    <w:rsid w:val="0033783E"/>
    <w:rsid w:val="00337992"/>
    <w:rsid w:val="00340EB0"/>
    <w:rsid w:val="00341A87"/>
    <w:rsid w:val="00342ED5"/>
    <w:rsid w:val="003451A3"/>
    <w:rsid w:val="00346582"/>
    <w:rsid w:val="003473CE"/>
    <w:rsid w:val="00350BCC"/>
    <w:rsid w:val="0035119C"/>
    <w:rsid w:val="00351ECB"/>
    <w:rsid w:val="003550B0"/>
    <w:rsid w:val="003551A6"/>
    <w:rsid w:val="003563CA"/>
    <w:rsid w:val="00357201"/>
    <w:rsid w:val="0036265F"/>
    <w:rsid w:val="00362C22"/>
    <w:rsid w:val="003636AD"/>
    <w:rsid w:val="00363940"/>
    <w:rsid w:val="0036404F"/>
    <w:rsid w:val="00364969"/>
    <w:rsid w:val="00365692"/>
    <w:rsid w:val="003659D5"/>
    <w:rsid w:val="003714BC"/>
    <w:rsid w:val="00371852"/>
    <w:rsid w:val="0037674F"/>
    <w:rsid w:val="00376777"/>
    <w:rsid w:val="00376DA4"/>
    <w:rsid w:val="00377677"/>
    <w:rsid w:val="003777D6"/>
    <w:rsid w:val="00377E5C"/>
    <w:rsid w:val="00377F74"/>
    <w:rsid w:val="00380475"/>
    <w:rsid w:val="0039070A"/>
    <w:rsid w:val="00391690"/>
    <w:rsid w:val="003916EB"/>
    <w:rsid w:val="003924AB"/>
    <w:rsid w:val="00393BAD"/>
    <w:rsid w:val="00395B4C"/>
    <w:rsid w:val="00395B9C"/>
    <w:rsid w:val="00396193"/>
    <w:rsid w:val="00396FD1"/>
    <w:rsid w:val="003A0FE8"/>
    <w:rsid w:val="003A131B"/>
    <w:rsid w:val="003A1F7D"/>
    <w:rsid w:val="003A4255"/>
    <w:rsid w:val="003A44FD"/>
    <w:rsid w:val="003A524A"/>
    <w:rsid w:val="003A5F69"/>
    <w:rsid w:val="003A6F3A"/>
    <w:rsid w:val="003B0CF9"/>
    <w:rsid w:val="003B37BD"/>
    <w:rsid w:val="003B5078"/>
    <w:rsid w:val="003B50DC"/>
    <w:rsid w:val="003B7423"/>
    <w:rsid w:val="003B7852"/>
    <w:rsid w:val="003C3288"/>
    <w:rsid w:val="003C3A83"/>
    <w:rsid w:val="003C4B57"/>
    <w:rsid w:val="003C70C1"/>
    <w:rsid w:val="003C7A44"/>
    <w:rsid w:val="003D1D27"/>
    <w:rsid w:val="003D1DB8"/>
    <w:rsid w:val="003D1DDA"/>
    <w:rsid w:val="003D2267"/>
    <w:rsid w:val="003D3CE5"/>
    <w:rsid w:val="003D4622"/>
    <w:rsid w:val="003D47C0"/>
    <w:rsid w:val="003D5865"/>
    <w:rsid w:val="003D589F"/>
    <w:rsid w:val="003D63F6"/>
    <w:rsid w:val="003D70FC"/>
    <w:rsid w:val="003E1616"/>
    <w:rsid w:val="003E1670"/>
    <w:rsid w:val="003E1BC7"/>
    <w:rsid w:val="003E229C"/>
    <w:rsid w:val="003E32F7"/>
    <w:rsid w:val="003E457B"/>
    <w:rsid w:val="003E502F"/>
    <w:rsid w:val="003E58FC"/>
    <w:rsid w:val="003E5EE7"/>
    <w:rsid w:val="003E619C"/>
    <w:rsid w:val="003E70F2"/>
    <w:rsid w:val="003F0027"/>
    <w:rsid w:val="003F0B79"/>
    <w:rsid w:val="003F116C"/>
    <w:rsid w:val="003F2430"/>
    <w:rsid w:val="003F2561"/>
    <w:rsid w:val="003F32E9"/>
    <w:rsid w:val="00401B32"/>
    <w:rsid w:val="00402FE7"/>
    <w:rsid w:val="00404DDB"/>
    <w:rsid w:val="00405557"/>
    <w:rsid w:val="004072D0"/>
    <w:rsid w:val="0041218E"/>
    <w:rsid w:val="00412DFF"/>
    <w:rsid w:val="00414276"/>
    <w:rsid w:val="00416BC0"/>
    <w:rsid w:val="00420E6F"/>
    <w:rsid w:val="004215FA"/>
    <w:rsid w:val="00423174"/>
    <w:rsid w:val="004235F5"/>
    <w:rsid w:val="00425B48"/>
    <w:rsid w:val="0042632C"/>
    <w:rsid w:val="004275A8"/>
    <w:rsid w:val="004279AE"/>
    <w:rsid w:val="00430C48"/>
    <w:rsid w:val="00430D88"/>
    <w:rsid w:val="00431AD3"/>
    <w:rsid w:val="0043306C"/>
    <w:rsid w:val="004336DD"/>
    <w:rsid w:val="004337F4"/>
    <w:rsid w:val="00434B94"/>
    <w:rsid w:val="00435305"/>
    <w:rsid w:val="00435BD6"/>
    <w:rsid w:val="00437AD7"/>
    <w:rsid w:val="00440A2B"/>
    <w:rsid w:val="00440C94"/>
    <w:rsid w:val="00442776"/>
    <w:rsid w:val="004432A7"/>
    <w:rsid w:val="004442F8"/>
    <w:rsid w:val="004445B7"/>
    <w:rsid w:val="00444B60"/>
    <w:rsid w:val="00445707"/>
    <w:rsid w:val="00445B1F"/>
    <w:rsid w:val="00445CBA"/>
    <w:rsid w:val="00446218"/>
    <w:rsid w:val="004469E4"/>
    <w:rsid w:val="00447386"/>
    <w:rsid w:val="004509B0"/>
    <w:rsid w:val="00450E2B"/>
    <w:rsid w:val="004513D5"/>
    <w:rsid w:val="00454200"/>
    <w:rsid w:val="004542AD"/>
    <w:rsid w:val="00456BB0"/>
    <w:rsid w:val="00457067"/>
    <w:rsid w:val="0046033A"/>
    <w:rsid w:val="004603F1"/>
    <w:rsid w:val="00460996"/>
    <w:rsid w:val="00461BBC"/>
    <w:rsid w:val="00461CD5"/>
    <w:rsid w:val="00462BF2"/>
    <w:rsid w:val="00463891"/>
    <w:rsid w:val="00464B79"/>
    <w:rsid w:val="00466ACA"/>
    <w:rsid w:val="00467884"/>
    <w:rsid w:val="00471332"/>
    <w:rsid w:val="0047293A"/>
    <w:rsid w:val="00472CD1"/>
    <w:rsid w:val="0047365A"/>
    <w:rsid w:val="00473903"/>
    <w:rsid w:val="00480CDE"/>
    <w:rsid w:val="00481445"/>
    <w:rsid w:val="00481D2C"/>
    <w:rsid w:val="004824D5"/>
    <w:rsid w:val="00482639"/>
    <w:rsid w:val="004857D2"/>
    <w:rsid w:val="00485ADD"/>
    <w:rsid w:val="00486E42"/>
    <w:rsid w:val="00486FD1"/>
    <w:rsid w:val="004909F3"/>
    <w:rsid w:val="004909FF"/>
    <w:rsid w:val="00490B6F"/>
    <w:rsid w:val="00491869"/>
    <w:rsid w:val="00491DB1"/>
    <w:rsid w:val="00494713"/>
    <w:rsid w:val="004976B4"/>
    <w:rsid w:val="00497B6D"/>
    <w:rsid w:val="004B2803"/>
    <w:rsid w:val="004B3299"/>
    <w:rsid w:val="004B442A"/>
    <w:rsid w:val="004B4CD0"/>
    <w:rsid w:val="004B6A93"/>
    <w:rsid w:val="004C12B5"/>
    <w:rsid w:val="004C276D"/>
    <w:rsid w:val="004C69FA"/>
    <w:rsid w:val="004C7119"/>
    <w:rsid w:val="004D07AE"/>
    <w:rsid w:val="004D1F74"/>
    <w:rsid w:val="004D296B"/>
    <w:rsid w:val="004D391C"/>
    <w:rsid w:val="004D44B6"/>
    <w:rsid w:val="004D45F1"/>
    <w:rsid w:val="004D4855"/>
    <w:rsid w:val="004D5C80"/>
    <w:rsid w:val="004D78D8"/>
    <w:rsid w:val="004D7C89"/>
    <w:rsid w:val="004E0A94"/>
    <w:rsid w:val="004E0EBE"/>
    <w:rsid w:val="004E0FAF"/>
    <w:rsid w:val="004E5355"/>
    <w:rsid w:val="004F0867"/>
    <w:rsid w:val="004F3230"/>
    <w:rsid w:val="004F357C"/>
    <w:rsid w:val="004F449E"/>
    <w:rsid w:val="004F4BFB"/>
    <w:rsid w:val="004F72AA"/>
    <w:rsid w:val="004F7AE8"/>
    <w:rsid w:val="00500742"/>
    <w:rsid w:val="00500D5C"/>
    <w:rsid w:val="0050296B"/>
    <w:rsid w:val="005032B6"/>
    <w:rsid w:val="0050561A"/>
    <w:rsid w:val="0051398B"/>
    <w:rsid w:val="005142EE"/>
    <w:rsid w:val="00514911"/>
    <w:rsid w:val="00517B48"/>
    <w:rsid w:val="00517CA9"/>
    <w:rsid w:val="00521FCC"/>
    <w:rsid w:val="00522C80"/>
    <w:rsid w:val="00522FF7"/>
    <w:rsid w:val="005248E2"/>
    <w:rsid w:val="00530755"/>
    <w:rsid w:val="00531604"/>
    <w:rsid w:val="00532558"/>
    <w:rsid w:val="00532EF0"/>
    <w:rsid w:val="00532F41"/>
    <w:rsid w:val="005334E4"/>
    <w:rsid w:val="0053399C"/>
    <w:rsid w:val="00534C2F"/>
    <w:rsid w:val="00536F37"/>
    <w:rsid w:val="00544B63"/>
    <w:rsid w:val="0054693C"/>
    <w:rsid w:val="00551B75"/>
    <w:rsid w:val="00551ED8"/>
    <w:rsid w:val="00553817"/>
    <w:rsid w:val="00554566"/>
    <w:rsid w:val="00554B0B"/>
    <w:rsid w:val="00555076"/>
    <w:rsid w:val="0055515C"/>
    <w:rsid w:val="005557CB"/>
    <w:rsid w:val="00555975"/>
    <w:rsid w:val="00556087"/>
    <w:rsid w:val="00556AA6"/>
    <w:rsid w:val="005573D2"/>
    <w:rsid w:val="00562DA8"/>
    <w:rsid w:val="005676D8"/>
    <w:rsid w:val="00570953"/>
    <w:rsid w:val="00570A21"/>
    <w:rsid w:val="00571F03"/>
    <w:rsid w:val="00573A0F"/>
    <w:rsid w:val="00573F93"/>
    <w:rsid w:val="005741D9"/>
    <w:rsid w:val="005753B9"/>
    <w:rsid w:val="00575FAA"/>
    <w:rsid w:val="005779CD"/>
    <w:rsid w:val="0058013F"/>
    <w:rsid w:val="005822C2"/>
    <w:rsid w:val="005824B6"/>
    <w:rsid w:val="00582693"/>
    <w:rsid w:val="005829D8"/>
    <w:rsid w:val="00586351"/>
    <w:rsid w:val="005864F1"/>
    <w:rsid w:val="005872F7"/>
    <w:rsid w:val="005921AF"/>
    <w:rsid w:val="00594A1A"/>
    <w:rsid w:val="0059529A"/>
    <w:rsid w:val="00596895"/>
    <w:rsid w:val="00596B09"/>
    <w:rsid w:val="0059733B"/>
    <w:rsid w:val="00597DA8"/>
    <w:rsid w:val="005A06E9"/>
    <w:rsid w:val="005A085F"/>
    <w:rsid w:val="005A1531"/>
    <w:rsid w:val="005A1AFB"/>
    <w:rsid w:val="005A3D4B"/>
    <w:rsid w:val="005A4A2C"/>
    <w:rsid w:val="005A7F53"/>
    <w:rsid w:val="005B2ABF"/>
    <w:rsid w:val="005B4DA5"/>
    <w:rsid w:val="005B5393"/>
    <w:rsid w:val="005B5559"/>
    <w:rsid w:val="005C132A"/>
    <w:rsid w:val="005C23A8"/>
    <w:rsid w:val="005C3256"/>
    <w:rsid w:val="005C5806"/>
    <w:rsid w:val="005C58E5"/>
    <w:rsid w:val="005C5CDC"/>
    <w:rsid w:val="005C60DF"/>
    <w:rsid w:val="005C799C"/>
    <w:rsid w:val="005D1793"/>
    <w:rsid w:val="005D1D8F"/>
    <w:rsid w:val="005D2B62"/>
    <w:rsid w:val="005D5008"/>
    <w:rsid w:val="005D5D4D"/>
    <w:rsid w:val="005D5DD3"/>
    <w:rsid w:val="005D6C77"/>
    <w:rsid w:val="005E18FB"/>
    <w:rsid w:val="005E2B44"/>
    <w:rsid w:val="005E37B1"/>
    <w:rsid w:val="005E38D1"/>
    <w:rsid w:val="005E41EF"/>
    <w:rsid w:val="005E42BD"/>
    <w:rsid w:val="005E4A69"/>
    <w:rsid w:val="005E4C99"/>
    <w:rsid w:val="005E7891"/>
    <w:rsid w:val="005E78DC"/>
    <w:rsid w:val="005F0B4B"/>
    <w:rsid w:val="005F2037"/>
    <w:rsid w:val="005F2DC8"/>
    <w:rsid w:val="005F3B14"/>
    <w:rsid w:val="005F5C29"/>
    <w:rsid w:val="005F5EEF"/>
    <w:rsid w:val="005F661C"/>
    <w:rsid w:val="005F6657"/>
    <w:rsid w:val="006001CA"/>
    <w:rsid w:val="006004E1"/>
    <w:rsid w:val="00601B10"/>
    <w:rsid w:val="00604C3D"/>
    <w:rsid w:val="00605608"/>
    <w:rsid w:val="006071DB"/>
    <w:rsid w:val="00607C1F"/>
    <w:rsid w:val="006100B3"/>
    <w:rsid w:val="00612D8F"/>
    <w:rsid w:val="006133B8"/>
    <w:rsid w:val="00613844"/>
    <w:rsid w:val="006138EF"/>
    <w:rsid w:val="00614716"/>
    <w:rsid w:val="00615D19"/>
    <w:rsid w:val="00616D65"/>
    <w:rsid w:val="006174BD"/>
    <w:rsid w:val="00617793"/>
    <w:rsid w:val="00617BD4"/>
    <w:rsid w:val="00617EDF"/>
    <w:rsid w:val="0062244A"/>
    <w:rsid w:val="00623C3E"/>
    <w:rsid w:val="00623E81"/>
    <w:rsid w:val="00624C1B"/>
    <w:rsid w:val="0062535B"/>
    <w:rsid w:val="00626C27"/>
    <w:rsid w:val="00627DE1"/>
    <w:rsid w:val="00630627"/>
    <w:rsid w:val="0063108A"/>
    <w:rsid w:val="00631257"/>
    <w:rsid w:val="006312E8"/>
    <w:rsid w:val="0063137D"/>
    <w:rsid w:val="006337EB"/>
    <w:rsid w:val="00634BAD"/>
    <w:rsid w:val="00635BA4"/>
    <w:rsid w:val="00636E61"/>
    <w:rsid w:val="00641107"/>
    <w:rsid w:val="006416FD"/>
    <w:rsid w:val="00643B99"/>
    <w:rsid w:val="0064480B"/>
    <w:rsid w:val="00644C24"/>
    <w:rsid w:val="00645217"/>
    <w:rsid w:val="00645507"/>
    <w:rsid w:val="006469E3"/>
    <w:rsid w:val="00647EBF"/>
    <w:rsid w:val="00650959"/>
    <w:rsid w:val="00651664"/>
    <w:rsid w:val="00651D8B"/>
    <w:rsid w:val="00652E1A"/>
    <w:rsid w:val="006535D7"/>
    <w:rsid w:val="006555DE"/>
    <w:rsid w:val="00655705"/>
    <w:rsid w:val="00656E00"/>
    <w:rsid w:val="006621D7"/>
    <w:rsid w:val="00663D03"/>
    <w:rsid w:val="006643CC"/>
    <w:rsid w:val="006645AF"/>
    <w:rsid w:val="00664620"/>
    <w:rsid w:val="00664675"/>
    <w:rsid w:val="00664AC8"/>
    <w:rsid w:val="00665C2F"/>
    <w:rsid w:val="00665CB1"/>
    <w:rsid w:val="00672DB9"/>
    <w:rsid w:val="0067390D"/>
    <w:rsid w:val="00674911"/>
    <w:rsid w:val="00675CD6"/>
    <w:rsid w:val="00676DB3"/>
    <w:rsid w:val="00676DF1"/>
    <w:rsid w:val="00677257"/>
    <w:rsid w:val="00680565"/>
    <w:rsid w:val="00681068"/>
    <w:rsid w:val="0068260C"/>
    <w:rsid w:val="00682FD2"/>
    <w:rsid w:val="00683425"/>
    <w:rsid w:val="00683553"/>
    <w:rsid w:val="00683780"/>
    <w:rsid w:val="0068570E"/>
    <w:rsid w:val="006868C7"/>
    <w:rsid w:val="0068712D"/>
    <w:rsid w:val="00693786"/>
    <w:rsid w:val="00694BC6"/>
    <w:rsid w:val="0069507D"/>
    <w:rsid w:val="00695FE8"/>
    <w:rsid w:val="006963ED"/>
    <w:rsid w:val="006A0372"/>
    <w:rsid w:val="006A0E5C"/>
    <w:rsid w:val="006A4002"/>
    <w:rsid w:val="006A6D04"/>
    <w:rsid w:val="006A6F8C"/>
    <w:rsid w:val="006A7EBC"/>
    <w:rsid w:val="006B25E2"/>
    <w:rsid w:val="006B2BA8"/>
    <w:rsid w:val="006B5D33"/>
    <w:rsid w:val="006B5DDC"/>
    <w:rsid w:val="006B5EB4"/>
    <w:rsid w:val="006B6EA4"/>
    <w:rsid w:val="006B739A"/>
    <w:rsid w:val="006C0F49"/>
    <w:rsid w:val="006C1FF8"/>
    <w:rsid w:val="006C4475"/>
    <w:rsid w:val="006C6355"/>
    <w:rsid w:val="006C69BC"/>
    <w:rsid w:val="006D022B"/>
    <w:rsid w:val="006D1538"/>
    <w:rsid w:val="006D2434"/>
    <w:rsid w:val="006D2F58"/>
    <w:rsid w:val="006D3B26"/>
    <w:rsid w:val="006D56BF"/>
    <w:rsid w:val="006D6A07"/>
    <w:rsid w:val="006E0497"/>
    <w:rsid w:val="006E0710"/>
    <w:rsid w:val="006E0A7E"/>
    <w:rsid w:val="006E5A80"/>
    <w:rsid w:val="006E7D41"/>
    <w:rsid w:val="006F0037"/>
    <w:rsid w:val="006F0159"/>
    <w:rsid w:val="006F1B44"/>
    <w:rsid w:val="006F2B47"/>
    <w:rsid w:val="006F5EFE"/>
    <w:rsid w:val="006F687C"/>
    <w:rsid w:val="006F69C4"/>
    <w:rsid w:val="00700659"/>
    <w:rsid w:val="0070099C"/>
    <w:rsid w:val="00701218"/>
    <w:rsid w:val="00703D57"/>
    <w:rsid w:val="00710856"/>
    <w:rsid w:val="00710D17"/>
    <w:rsid w:val="00712CD3"/>
    <w:rsid w:val="00713573"/>
    <w:rsid w:val="00713DFC"/>
    <w:rsid w:val="007142B8"/>
    <w:rsid w:val="00715A01"/>
    <w:rsid w:val="00723A00"/>
    <w:rsid w:val="00724769"/>
    <w:rsid w:val="00724B61"/>
    <w:rsid w:val="0072548F"/>
    <w:rsid w:val="00727D05"/>
    <w:rsid w:val="00727FB6"/>
    <w:rsid w:val="007300CF"/>
    <w:rsid w:val="00730351"/>
    <w:rsid w:val="00733573"/>
    <w:rsid w:val="00734BB4"/>
    <w:rsid w:val="00737332"/>
    <w:rsid w:val="00737C0D"/>
    <w:rsid w:val="00737CCA"/>
    <w:rsid w:val="00740280"/>
    <w:rsid w:val="00740905"/>
    <w:rsid w:val="00742017"/>
    <w:rsid w:val="007427DA"/>
    <w:rsid w:val="00747480"/>
    <w:rsid w:val="00747BC1"/>
    <w:rsid w:val="00750E89"/>
    <w:rsid w:val="007520DC"/>
    <w:rsid w:val="0075233C"/>
    <w:rsid w:val="00752909"/>
    <w:rsid w:val="00756C3C"/>
    <w:rsid w:val="00757CC7"/>
    <w:rsid w:val="00760096"/>
    <w:rsid w:val="007609B8"/>
    <w:rsid w:val="00762212"/>
    <w:rsid w:val="00762894"/>
    <w:rsid w:val="00763984"/>
    <w:rsid w:val="007647B4"/>
    <w:rsid w:val="00764F5F"/>
    <w:rsid w:val="0076684C"/>
    <w:rsid w:val="00767496"/>
    <w:rsid w:val="0076777C"/>
    <w:rsid w:val="00771115"/>
    <w:rsid w:val="00772E8F"/>
    <w:rsid w:val="00773745"/>
    <w:rsid w:val="007742CF"/>
    <w:rsid w:val="0077510E"/>
    <w:rsid w:val="00780303"/>
    <w:rsid w:val="007826B2"/>
    <w:rsid w:val="007826BF"/>
    <w:rsid w:val="00782D49"/>
    <w:rsid w:val="00783898"/>
    <w:rsid w:val="00783D1A"/>
    <w:rsid w:val="00783DD5"/>
    <w:rsid w:val="00783E70"/>
    <w:rsid w:val="00786345"/>
    <w:rsid w:val="00787ADA"/>
    <w:rsid w:val="00791CBF"/>
    <w:rsid w:val="007931D6"/>
    <w:rsid w:val="00793517"/>
    <w:rsid w:val="00793ECE"/>
    <w:rsid w:val="0079418D"/>
    <w:rsid w:val="007946D0"/>
    <w:rsid w:val="007A0146"/>
    <w:rsid w:val="007A12C3"/>
    <w:rsid w:val="007A2AA7"/>
    <w:rsid w:val="007A31A8"/>
    <w:rsid w:val="007A3788"/>
    <w:rsid w:val="007A40DE"/>
    <w:rsid w:val="007A4490"/>
    <w:rsid w:val="007A5050"/>
    <w:rsid w:val="007A51AD"/>
    <w:rsid w:val="007A5EAF"/>
    <w:rsid w:val="007A7650"/>
    <w:rsid w:val="007A792A"/>
    <w:rsid w:val="007A7F3F"/>
    <w:rsid w:val="007B0E6F"/>
    <w:rsid w:val="007B2DA7"/>
    <w:rsid w:val="007B4834"/>
    <w:rsid w:val="007B4A8C"/>
    <w:rsid w:val="007B6D61"/>
    <w:rsid w:val="007B7D00"/>
    <w:rsid w:val="007C04AF"/>
    <w:rsid w:val="007C0551"/>
    <w:rsid w:val="007C09FA"/>
    <w:rsid w:val="007C0B53"/>
    <w:rsid w:val="007C0F15"/>
    <w:rsid w:val="007C2004"/>
    <w:rsid w:val="007C4245"/>
    <w:rsid w:val="007D08E6"/>
    <w:rsid w:val="007D2682"/>
    <w:rsid w:val="007D3DEC"/>
    <w:rsid w:val="007D4439"/>
    <w:rsid w:val="007D7293"/>
    <w:rsid w:val="007E066D"/>
    <w:rsid w:val="007E16DF"/>
    <w:rsid w:val="007E23E2"/>
    <w:rsid w:val="007E2862"/>
    <w:rsid w:val="007E6929"/>
    <w:rsid w:val="007E6EB7"/>
    <w:rsid w:val="007E7E4A"/>
    <w:rsid w:val="007F2B6B"/>
    <w:rsid w:val="007F3E73"/>
    <w:rsid w:val="007F3F27"/>
    <w:rsid w:val="007F5D71"/>
    <w:rsid w:val="008002E9"/>
    <w:rsid w:val="00803726"/>
    <w:rsid w:val="00804C1B"/>
    <w:rsid w:val="008063A8"/>
    <w:rsid w:val="008065F8"/>
    <w:rsid w:val="0080680D"/>
    <w:rsid w:val="00807365"/>
    <w:rsid w:val="00807FE9"/>
    <w:rsid w:val="00810973"/>
    <w:rsid w:val="00812362"/>
    <w:rsid w:val="00813F04"/>
    <w:rsid w:val="0081479E"/>
    <w:rsid w:val="00815CDC"/>
    <w:rsid w:val="008170A4"/>
    <w:rsid w:val="00817581"/>
    <w:rsid w:val="0081762E"/>
    <w:rsid w:val="00817BDC"/>
    <w:rsid w:val="0082071C"/>
    <w:rsid w:val="00821118"/>
    <w:rsid w:val="00824D8E"/>
    <w:rsid w:val="0082656C"/>
    <w:rsid w:val="00827D1B"/>
    <w:rsid w:val="00830FD8"/>
    <w:rsid w:val="00832010"/>
    <w:rsid w:val="008330D4"/>
    <w:rsid w:val="00836495"/>
    <w:rsid w:val="00836569"/>
    <w:rsid w:val="008401A5"/>
    <w:rsid w:val="008401BC"/>
    <w:rsid w:val="00840FDC"/>
    <w:rsid w:val="00847797"/>
    <w:rsid w:val="0085072B"/>
    <w:rsid w:val="0085397B"/>
    <w:rsid w:val="008551BE"/>
    <w:rsid w:val="00856CAB"/>
    <w:rsid w:val="008572B0"/>
    <w:rsid w:val="0085780F"/>
    <w:rsid w:val="008618E2"/>
    <w:rsid w:val="0086231C"/>
    <w:rsid w:val="0086441F"/>
    <w:rsid w:val="0086626A"/>
    <w:rsid w:val="0086778F"/>
    <w:rsid w:val="008714A8"/>
    <w:rsid w:val="00872210"/>
    <w:rsid w:val="00873128"/>
    <w:rsid w:val="008734AD"/>
    <w:rsid w:val="0087399E"/>
    <w:rsid w:val="0087596F"/>
    <w:rsid w:val="008765B9"/>
    <w:rsid w:val="00876D2A"/>
    <w:rsid w:val="00877968"/>
    <w:rsid w:val="0088056F"/>
    <w:rsid w:val="008805D6"/>
    <w:rsid w:val="00881287"/>
    <w:rsid w:val="00882F3D"/>
    <w:rsid w:val="008844FE"/>
    <w:rsid w:val="00885507"/>
    <w:rsid w:val="008862C7"/>
    <w:rsid w:val="0088678E"/>
    <w:rsid w:val="0089065A"/>
    <w:rsid w:val="00892EB7"/>
    <w:rsid w:val="00894EDB"/>
    <w:rsid w:val="00895305"/>
    <w:rsid w:val="00897E9D"/>
    <w:rsid w:val="008A0D83"/>
    <w:rsid w:val="008A3274"/>
    <w:rsid w:val="008A461D"/>
    <w:rsid w:val="008A586A"/>
    <w:rsid w:val="008A69E3"/>
    <w:rsid w:val="008B2517"/>
    <w:rsid w:val="008B257E"/>
    <w:rsid w:val="008B47BB"/>
    <w:rsid w:val="008B4807"/>
    <w:rsid w:val="008B69D0"/>
    <w:rsid w:val="008B7714"/>
    <w:rsid w:val="008C0C19"/>
    <w:rsid w:val="008C1D5A"/>
    <w:rsid w:val="008C3AB5"/>
    <w:rsid w:val="008C408B"/>
    <w:rsid w:val="008C6AC2"/>
    <w:rsid w:val="008D1A25"/>
    <w:rsid w:val="008D22B4"/>
    <w:rsid w:val="008D2522"/>
    <w:rsid w:val="008D3669"/>
    <w:rsid w:val="008E10DA"/>
    <w:rsid w:val="008E11AD"/>
    <w:rsid w:val="008E1C8C"/>
    <w:rsid w:val="008F3768"/>
    <w:rsid w:val="008F3B4C"/>
    <w:rsid w:val="008F4B29"/>
    <w:rsid w:val="008F5446"/>
    <w:rsid w:val="008F560B"/>
    <w:rsid w:val="008F57B0"/>
    <w:rsid w:val="008F5E85"/>
    <w:rsid w:val="008F5FBA"/>
    <w:rsid w:val="008F7BFD"/>
    <w:rsid w:val="00900945"/>
    <w:rsid w:val="009036E8"/>
    <w:rsid w:val="00904D5D"/>
    <w:rsid w:val="0090622E"/>
    <w:rsid w:val="009075A1"/>
    <w:rsid w:val="00907F95"/>
    <w:rsid w:val="00910A96"/>
    <w:rsid w:val="00911357"/>
    <w:rsid w:val="00911823"/>
    <w:rsid w:val="00912B1E"/>
    <w:rsid w:val="00913C02"/>
    <w:rsid w:val="00914A98"/>
    <w:rsid w:val="00914BD5"/>
    <w:rsid w:val="009151D5"/>
    <w:rsid w:val="00916ADF"/>
    <w:rsid w:val="00916EAA"/>
    <w:rsid w:val="0091781B"/>
    <w:rsid w:val="00917F89"/>
    <w:rsid w:val="00920D5A"/>
    <w:rsid w:val="00920D75"/>
    <w:rsid w:val="00922E66"/>
    <w:rsid w:val="00923341"/>
    <w:rsid w:val="00923D92"/>
    <w:rsid w:val="00925612"/>
    <w:rsid w:val="00925A03"/>
    <w:rsid w:val="00931140"/>
    <w:rsid w:val="00933A3B"/>
    <w:rsid w:val="00933DE7"/>
    <w:rsid w:val="00935414"/>
    <w:rsid w:val="00935C7D"/>
    <w:rsid w:val="00936942"/>
    <w:rsid w:val="00941A6A"/>
    <w:rsid w:val="00944D0E"/>
    <w:rsid w:val="009469F8"/>
    <w:rsid w:val="00947BC2"/>
    <w:rsid w:val="00947C41"/>
    <w:rsid w:val="00947DE3"/>
    <w:rsid w:val="009516BE"/>
    <w:rsid w:val="00951748"/>
    <w:rsid w:val="00952015"/>
    <w:rsid w:val="00954DB0"/>
    <w:rsid w:val="00955832"/>
    <w:rsid w:val="00956339"/>
    <w:rsid w:val="00956513"/>
    <w:rsid w:val="00957CE3"/>
    <w:rsid w:val="00962C82"/>
    <w:rsid w:val="009631C7"/>
    <w:rsid w:val="00964DAB"/>
    <w:rsid w:val="009679F4"/>
    <w:rsid w:val="009705FC"/>
    <w:rsid w:val="00970FFA"/>
    <w:rsid w:val="009725C1"/>
    <w:rsid w:val="0097427C"/>
    <w:rsid w:val="00976D3A"/>
    <w:rsid w:val="00980AD9"/>
    <w:rsid w:val="00982F5C"/>
    <w:rsid w:val="00983B93"/>
    <w:rsid w:val="00983DE6"/>
    <w:rsid w:val="0098683A"/>
    <w:rsid w:val="00986844"/>
    <w:rsid w:val="00991571"/>
    <w:rsid w:val="009926B2"/>
    <w:rsid w:val="00992DFD"/>
    <w:rsid w:val="00993CC6"/>
    <w:rsid w:val="00994045"/>
    <w:rsid w:val="00995711"/>
    <w:rsid w:val="00996932"/>
    <w:rsid w:val="0099767C"/>
    <w:rsid w:val="009A04A8"/>
    <w:rsid w:val="009A0F82"/>
    <w:rsid w:val="009A1518"/>
    <w:rsid w:val="009A2514"/>
    <w:rsid w:val="009A29C9"/>
    <w:rsid w:val="009A41FB"/>
    <w:rsid w:val="009A5181"/>
    <w:rsid w:val="009A5A69"/>
    <w:rsid w:val="009A6B68"/>
    <w:rsid w:val="009A7114"/>
    <w:rsid w:val="009B13DD"/>
    <w:rsid w:val="009B1A79"/>
    <w:rsid w:val="009B1AE2"/>
    <w:rsid w:val="009B2A8E"/>
    <w:rsid w:val="009B4850"/>
    <w:rsid w:val="009B53C4"/>
    <w:rsid w:val="009B57DF"/>
    <w:rsid w:val="009B5E5B"/>
    <w:rsid w:val="009B6712"/>
    <w:rsid w:val="009C04AA"/>
    <w:rsid w:val="009C1694"/>
    <w:rsid w:val="009C4DF5"/>
    <w:rsid w:val="009C5A8E"/>
    <w:rsid w:val="009C7061"/>
    <w:rsid w:val="009C77E4"/>
    <w:rsid w:val="009C78D7"/>
    <w:rsid w:val="009C7D53"/>
    <w:rsid w:val="009D0496"/>
    <w:rsid w:val="009D135F"/>
    <w:rsid w:val="009D1AD9"/>
    <w:rsid w:val="009D2199"/>
    <w:rsid w:val="009D3D80"/>
    <w:rsid w:val="009D4E5E"/>
    <w:rsid w:val="009D684C"/>
    <w:rsid w:val="009D7723"/>
    <w:rsid w:val="009E1EDD"/>
    <w:rsid w:val="009E249B"/>
    <w:rsid w:val="009E395C"/>
    <w:rsid w:val="009E3CF7"/>
    <w:rsid w:val="009E4DB1"/>
    <w:rsid w:val="009E517C"/>
    <w:rsid w:val="009E79C4"/>
    <w:rsid w:val="009F0747"/>
    <w:rsid w:val="009F1117"/>
    <w:rsid w:val="009F193D"/>
    <w:rsid w:val="009F30A5"/>
    <w:rsid w:val="009F3189"/>
    <w:rsid w:val="009F36C7"/>
    <w:rsid w:val="00A0054A"/>
    <w:rsid w:val="00A0246D"/>
    <w:rsid w:val="00A02912"/>
    <w:rsid w:val="00A066EB"/>
    <w:rsid w:val="00A07BCF"/>
    <w:rsid w:val="00A12187"/>
    <w:rsid w:val="00A12381"/>
    <w:rsid w:val="00A123CC"/>
    <w:rsid w:val="00A13108"/>
    <w:rsid w:val="00A15B61"/>
    <w:rsid w:val="00A16E87"/>
    <w:rsid w:val="00A17E5E"/>
    <w:rsid w:val="00A200AB"/>
    <w:rsid w:val="00A22950"/>
    <w:rsid w:val="00A23791"/>
    <w:rsid w:val="00A2388F"/>
    <w:rsid w:val="00A24D98"/>
    <w:rsid w:val="00A25298"/>
    <w:rsid w:val="00A258A8"/>
    <w:rsid w:val="00A27FE9"/>
    <w:rsid w:val="00A30E4A"/>
    <w:rsid w:val="00A32F65"/>
    <w:rsid w:val="00A33433"/>
    <w:rsid w:val="00A34522"/>
    <w:rsid w:val="00A3571F"/>
    <w:rsid w:val="00A35DAE"/>
    <w:rsid w:val="00A35FFB"/>
    <w:rsid w:val="00A37032"/>
    <w:rsid w:val="00A37135"/>
    <w:rsid w:val="00A4047A"/>
    <w:rsid w:val="00A40F75"/>
    <w:rsid w:val="00A414AD"/>
    <w:rsid w:val="00A4180B"/>
    <w:rsid w:val="00A42C3A"/>
    <w:rsid w:val="00A42F98"/>
    <w:rsid w:val="00A43EF4"/>
    <w:rsid w:val="00A441AB"/>
    <w:rsid w:val="00A44AD8"/>
    <w:rsid w:val="00A45F21"/>
    <w:rsid w:val="00A4625B"/>
    <w:rsid w:val="00A4763E"/>
    <w:rsid w:val="00A47BD9"/>
    <w:rsid w:val="00A53575"/>
    <w:rsid w:val="00A55AE1"/>
    <w:rsid w:val="00A55F00"/>
    <w:rsid w:val="00A578DF"/>
    <w:rsid w:val="00A616DD"/>
    <w:rsid w:val="00A625F0"/>
    <w:rsid w:val="00A634B0"/>
    <w:rsid w:val="00A63E7C"/>
    <w:rsid w:val="00A6591F"/>
    <w:rsid w:val="00A7012F"/>
    <w:rsid w:val="00A70BB9"/>
    <w:rsid w:val="00A752F6"/>
    <w:rsid w:val="00A75AB9"/>
    <w:rsid w:val="00A75C2B"/>
    <w:rsid w:val="00A76107"/>
    <w:rsid w:val="00A77C6A"/>
    <w:rsid w:val="00A8120F"/>
    <w:rsid w:val="00A834BE"/>
    <w:rsid w:val="00A836F5"/>
    <w:rsid w:val="00A915A3"/>
    <w:rsid w:val="00A9522D"/>
    <w:rsid w:val="00A9613B"/>
    <w:rsid w:val="00A97363"/>
    <w:rsid w:val="00A97875"/>
    <w:rsid w:val="00AA3022"/>
    <w:rsid w:val="00AA32BB"/>
    <w:rsid w:val="00AA6C6B"/>
    <w:rsid w:val="00AB01BB"/>
    <w:rsid w:val="00AB133F"/>
    <w:rsid w:val="00AB1CE6"/>
    <w:rsid w:val="00AB61D3"/>
    <w:rsid w:val="00AC0116"/>
    <w:rsid w:val="00AC056F"/>
    <w:rsid w:val="00AC0603"/>
    <w:rsid w:val="00AC185C"/>
    <w:rsid w:val="00AC1A04"/>
    <w:rsid w:val="00AC1E71"/>
    <w:rsid w:val="00AC2F87"/>
    <w:rsid w:val="00AC3F4C"/>
    <w:rsid w:val="00AC437F"/>
    <w:rsid w:val="00AC4475"/>
    <w:rsid w:val="00AC6212"/>
    <w:rsid w:val="00AD0391"/>
    <w:rsid w:val="00AD3643"/>
    <w:rsid w:val="00AD451C"/>
    <w:rsid w:val="00AD64B7"/>
    <w:rsid w:val="00AD66E1"/>
    <w:rsid w:val="00AD70A9"/>
    <w:rsid w:val="00AD7484"/>
    <w:rsid w:val="00AE0C74"/>
    <w:rsid w:val="00AE18B3"/>
    <w:rsid w:val="00AE1A06"/>
    <w:rsid w:val="00AE41CF"/>
    <w:rsid w:val="00AE4B33"/>
    <w:rsid w:val="00AE5324"/>
    <w:rsid w:val="00AE553A"/>
    <w:rsid w:val="00AE57D1"/>
    <w:rsid w:val="00AE6BAC"/>
    <w:rsid w:val="00AE6ED4"/>
    <w:rsid w:val="00AE706E"/>
    <w:rsid w:val="00AE7386"/>
    <w:rsid w:val="00AE762E"/>
    <w:rsid w:val="00AE79ED"/>
    <w:rsid w:val="00AE7F01"/>
    <w:rsid w:val="00AF1863"/>
    <w:rsid w:val="00AF4AB7"/>
    <w:rsid w:val="00AF5B0B"/>
    <w:rsid w:val="00AF67C0"/>
    <w:rsid w:val="00B0005B"/>
    <w:rsid w:val="00B00702"/>
    <w:rsid w:val="00B00A79"/>
    <w:rsid w:val="00B02CC1"/>
    <w:rsid w:val="00B0340F"/>
    <w:rsid w:val="00B045C8"/>
    <w:rsid w:val="00B04FEF"/>
    <w:rsid w:val="00B05206"/>
    <w:rsid w:val="00B05B6E"/>
    <w:rsid w:val="00B05EF3"/>
    <w:rsid w:val="00B060BC"/>
    <w:rsid w:val="00B0774E"/>
    <w:rsid w:val="00B07C7F"/>
    <w:rsid w:val="00B11220"/>
    <w:rsid w:val="00B11C3C"/>
    <w:rsid w:val="00B267A2"/>
    <w:rsid w:val="00B30DB7"/>
    <w:rsid w:val="00B314D8"/>
    <w:rsid w:val="00B317AC"/>
    <w:rsid w:val="00B32CD1"/>
    <w:rsid w:val="00B33AAD"/>
    <w:rsid w:val="00B33C7F"/>
    <w:rsid w:val="00B34394"/>
    <w:rsid w:val="00B34AC5"/>
    <w:rsid w:val="00B34BDC"/>
    <w:rsid w:val="00B34CED"/>
    <w:rsid w:val="00B36C7B"/>
    <w:rsid w:val="00B425B8"/>
    <w:rsid w:val="00B42D3E"/>
    <w:rsid w:val="00B43E35"/>
    <w:rsid w:val="00B449F0"/>
    <w:rsid w:val="00B45729"/>
    <w:rsid w:val="00B46390"/>
    <w:rsid w:val="00B50961"/>
    <w:rsid w:val="00B52E6D"/>
    <w:rsid w:val="00B53474"/>
    <w:rsid w:val="00B54D1F"/>
    <w:rsid w:val="00B55856"/>
    <w:rsid w:val="00B55B6B"/>
    <w:rsid w:val="00B565B2"/>
    <w:rsid w:val="00B5672A"/>
    <w:rsid w:val="00B576D4"/>
    <w:rsid w:val="00B61B21"/>
    <w:rsid w:val="00B61DFF"/>
    <w:rsid w:val="00B6255C"/>
    <w:rsid w:val="00B633B4"/>
    <w:rsid w:val="00B63501"/>
    <w:rsid w:val="00B64C6E"/>
    <w:rsid w:val="00B65104"/>
    <w:rsid w:val="00B65B2B"/>
    <w:rsid w:val="00B65CF2"/>
    <w:rsid w:val="00B65EF3"/>
    <w:rsid w:val="00B660A8"/>
    <w:rsid w:val="00B67B43"/>
    <w:rsid w:val="00B7071A"/>
    <w:rsid w:val="00B709A2"/>
    <w:rsid w:val="00B73716"/>
    <w:rsid w:val="00B73936"/>
    <w:rsid w:val="00B77915"/>
    <w:rsid w:val="00B802AB"/>
    <w:rsid w:val="00B80824"/>
    <w:rsid w:val="00B84453"/>
    <w:rsid w:val="00B86122"/>
    <w:rsid w:val="00B86756"/>
    <w:rsid w:val="00B90005"/>
    <w:rsid w:val="00B900B9"/>
    <w:rsid w:val="00B92726"/>
    <w:rsid w:val="00B93589"/>
    <w:rsid w:val="00B946DB"/>
    <w:rsid w:val="00B95A6F"/>
    <w:rsid w:val="00B95BD1"/>
    <w:rsid w:val="00B95FA0"/>
    <w:rsid w:val="00B96693"/>
    <w:rsid w:val="00B96B84"/>
    <w:rsid w:val="00BA02F0"/>
    <w:rsid w:val="00BA0ACE"/>
    <w:rsid w:val="00BA1583"/>
    <w:rsid w:val="00BA2A35"/>
    <w:rsid w:val="00BA3954"/>
    <w:rsid w:val="00BA46B8"/>
    <w:rsid w:val="00BA528A"/>
    <w:rsid w:val="00BA5765"/>
    <w:rsid w:val="00BA7A64"/>
    <w:rsid w:val="00BA7EB3"/>
    <w:rsid w:val="00BB0FBE"/>
    <w:rsid w:val="00BB164A"/>
    <w:rsid w:val="00BB2A31"/>
    <w:rsid w:val="00BB3F76"/>
    <w:rsid w:val="00BB4476"/>
    <w:rsid w:val="00BB5207"/>
    <w:rsid w:val="00BB58A3"/>
    <w:rsid w:val="00BB7E8F"/>
    <w:rsid w:val="00BC18DF"/>
    <w:rsid w:val="00BC1BF1"/>
    <w:rsid w:val="00BC4282"/>
    <w:rsid w:val="00BC50C0"/>
    <w:rsid w:val="00BC6F1F"/>
    <w:rsid w:val="00BD02EF"/>
    <w:rsid w:val="00BD1BE4"/>
    <w:rsid w:val="00BD42F6"/>
    <w:rsid w:val="00BD451C"/>
    <w:rsid w:val="00BD4B5A"/>
    <w:rsid w:val="00BE0BEC"/>
    <w:rsid w:val="00BE0D3C"/>
    <w:rsid w:val="00BE0FAC"/>
    <w:rsid w:val="00BE128C"/>
    <w:rsid w:val="00BE3B35"/>
    <w:rsid w:val="00BE4074"/>
    <w:rsid w:val="00BF0846"/>
    <w:rsid w:val="00BF14D9"/>
    <w:rsid w:val="00BF1C06"/>
    <w:rsid w:val="00BF1C11"/>
    <w:rsid w:val="00BF1E77"/>
    <w:rsid w:val="00BF3C51"/>
    <w:rsid w:val="00BF4214"/>
    <w:rsid w:val="00BF45DA"/>
    <w:rsid w:val="00BF58FB"/>
    <w:rsid w:val="00BF5F73"/>
    <w:rsid w:val="00BF5FBD"/>
    <w:rsid w:val="00BF6166"/>
    <w:rsid w:val="00BF6852"/>
    <w:rsid w:val="00BF6A1B"/>
    <w:rsid w:val="00BF6BCA"/>
    <w:rsid w:val="00BF7A71"/>
    <w:rsid w:val="00BF7BAE"/>
    <w:rsid w:val="00C039E8"/>
    <w:rsid w:val="00C04222"/>
    <w:rsid w:val="00C0480B"/>
    <w:rsid w:val="00C0581F"/>
    <w:rsid w:val="00C07F30"/>
    <w:rsid w:val="00C106C5"/>
    <w:rsid w:val="00C112C0"/>
    <w:rsid w:val="00C12791"/>
    <w:rsid w:val="00C165C0"/>
    <w:rsid w:val="00C16AEC"/>
    <w:rsid w:val="00C1769D"/>
    <w:rsid w:val="00C214DB"/>
    <w:rsid w:val="00C23CEA"/>
    <w:rsid w:val="00C2483D"/>
    <w:rsid w:val="00C24A02"/>
    <w:rsid w:val="00C26589"/>
    <w:rsid w:val="00C266E7"/>
    <w:rsid w:val="00C3043F"/>
    <w:rsid w:val="00C321D6"/>
    <w:rsid w:val="00C32857"/>
    <w:rsid w:val="00C33689"/>
    <w:rsid w:val="00C352BE"/>
    <w:rsid w:val="00C364EF"/>
    <w:rsid w:val="00C3701A"/>
    <w:rsid w:val="00C3728B"/>
    <w:rsid w:val="00C37A27"/>
    <w:rsid w:val="00C37CAE"/>
    <w:rsid w:val="00C405FB"/>
    <w:rsid w:val="00C42A79"/>
    <w:rsid w:val="00C430C5"/>
    <w:rsid w:val="00C43F86"/>
    <w:rsid w:val="00C44950"/>
    <w:rsid w:val="00C45DB3"/>
    <w:rsid w:val="00C472B7"/>
    <w:rsid w:val="00C50755"/>
    <w:rsid w:val="00C52EA0"/>
    <w:rsid w:val="00C539AE"/>
    <w:rsid w:val="00C53A40"/>
    <w:rsid w:val="00C60497"/>
    <w:rsid w:val="00C61344"/>
    <w:rsid w:val="00C61547"/>
    <w:rsid w:val="00C6183A"/>
    <w:rsid w:val="00C623BB"/>
    <w:rsid w:val="00C65684"/>
    <w:rsid w:val="00C66330"/>
    <w:rsid w:val="00C72B55"/>
    <w:rsid w:val="00C74D55"/>
    <w:rsid w:val="00C76BCB"/>
    <w:rsid w:val="00C8145F"/>
    <w:rsid w:val="00C81E2A"/>
    <w:rsid w:val="00C8279D"/>
    <w:rsid w:val="00C84AFC"/>
    <w:rsid w:val="00C85912"/>
    <w:rsid w:val="00C86C9F"/>
    <w:rsid w:val="00C901A9"/>
    <w:rsid w:val="00C9111E"/>
    <w:rsid w:val="00C91959"/>
    <w:rsid w:val="00C920F6"/>
    <w:rsid w:val="00C92124"/>
    <w:rsid w:val="00C932F0"/>
    <w:rsid w:val="00C9393D"/>
    <w:rsid w:val="00C93F9E"/>
    <w:rsid w:val="00CA050F"/>
    <w:rsid w:val="00CA0601"/>
    <w:rsid w:val="00CA2CED"/>
    <w:rsid w:val="00CA3251"/>
    <w:rsid w:val="00CA3F43"/>
    <w:rsid w:val="00CA455D"/>
    <w:rsid w:val="00CA4E52"/>
    <w:rsid w:val="00CA56F7"/>
    <w:rsid w:val="00CB0DE8"/>
    <w:rsid w:val="00CB1AF9"/>
    <w:rsid w:val="00CB24C1"/>
    <w:rsid w:val="00CB2F00"/>
    <w:rsid w:val="00CB2F92"/>
    <w:rsid w:val="00CB394C"/>
    <w:rsid w:val="00CB41B1"/>
    <w:rsid w:val="00CB4613"/>
    <w:rsid w:val="00CB6EB2"/>
    <w:rsid w:val="00CB7559"/>
    <w:rsid w:val="00CC2228"/>
    <w:rsid w:val="00CC2566"/>
    <w:rsid w:val="00CC357F"/>
    <w:rsid w:val="00CC3973"/>
    <w:rsid w:val="00CC3A7C"/>
    <w:rsid w:val="00CD024A"/>
    <w:rsid w:val="00CD072E"/>
    <w:rsid w:val="00CD12AC"/>
    <w:rsid w:val="00CD6492"/>
    <w:rsid w:val="00CD7737"/>
    <w:rsid w:val="00CE045E"/>
    <w:rsid w:val="00CE2628"/>
    <w:rsid w:val="00CE2DF8"/>
    <w:rsid w:val="00CE3414"/>
    <w:rsid w:val="00CE653B"/>
    <w:rsid w:val="00CE71D4"/>
    <w:rsid w:val="00CE72D9"/>
    <w:rsid w:val="00CF262D"/>
    <w:rsid w:val="00CF51DE"/>
    <w:rsid w:val="00CF5E60"/>
    <w:rsid w:val="00CF7FF1"/>
    <w:rsid w:val="00D0048F"/>
    <w:rsid w:val="00D0126E"/>
    <w:rsid w:val="00D0194A"/>
    <w:rsid w:val="00D01EE3"/>
    <w:rsid w:val="00D0251A"/>
    <w:rsid w:val="00D035BD"/>
    <w:rsid w:val="00D035F4"/>
    <w:rsid w:val="00D03A1D"/>
    <w:rsid w:val="00D05229"/>
    <w:rsid w:val="00D0593D"/>
    <w:rsid w:val="00D05BA0"/>
    <w:rsid w:val="00D07A84"/>
    <w:rsid w:val="00D12A0D"/>
    <w:rsid w:val="00D13C3C"/>
    <w:rsid w:val="00D17576"/>
    <w:rsid w:val="00D20298"/>
    <w:rsid w:val="00D202A4"/>
    <w:rsid w:val="00D224D6"/>
    <w:rsid w:val="00D22570"/>
    <w:rsid w:val="00D27B98"/>
    <w:rsid w:val="00D31391"/>
    <w:rsid w:val="00D31F7A"/>
    <w:rsid w:val="00D35E5C"/>
    <w:rsid w:val="00D36098"/>
    <w:rsid w:val="00D3681C"/>
    <w:rsid w:val="00D376B0"/>
    <w:rsid w:val="00D37EE9"/>
    <w:rsid w:val="00D4009D"/>
    <w:rsid w:val="00D40887"/>
    <w:rsid w:val="00D41A14"/>
    <w:rsid w:val="00D43223"/>
    <w:rsid w:val="00D43F8E"/>
    <w:rsid w:val="00D44308"/>
    <w:rsid w:val="00D45B56"/>
    <w:rsid w:val="00D4660B"/>
    <w:rsid w:val="00D468E7"/>
    <w:rsid w:val="00D47734"/>
    <w:rsid w:val="00D5039A"/>
    <w:rsid w:val="00D50F3A"/>
    <w:rsid w:val="00D521B4"/>
    <w:rsid w:val="00D521BC"/>
    <w:rsid w:val="00D55B38"/>
    <w:rsid w:val="00D566BE"/>
    <w:rsid w:val="00D5786F"/>
    <w:rsid w:val="00D57CA8"/>
    <w:rsid w:val="00D60A4A"/>
    <w:rsid w:val="00D60B64"/>
    <w:rsid w:val="00D616FC"/>
    <w:rsid w:val="00D61967"/>
    <w:rsid w:val="00D626D7"/>
    <w:rsid w:val="00D63203"/>
    <w:rsid w:val="00D63612"/>
    <w:rsid w:val="00D63C13"/>
    <w:rsid w:val="00D64823"/>
    <w:rsid w:val="00D6676D"/>
    <w:rsid w:val="00D668A0"/>
    <w:rsid w:val="00D70580"/>
    <w:rsid w:val="00D712EA"/>
    <w:rsid w:val="00D728B1"/>
    <w:rsid w:val="00D72A5A"/>
    <w:rsid w:val="00D73162"/>
    <w:rsid w:val="00D73D7E"/>
    <w:rsid w:val="00D744BC"/>
    <w:rsid w:val="00D7451D"/>
    <w:rsid w:val="00D75ECB"/>
    <w:rsid w:val="00D80AB4"/>
    <w:rsid w:val="00D81B39"/>
    <w:rsid w:val="00D848F7"/>
    <w:rsid w:val="00D86859"/>
    <w:rsid w:val="00D92CE0"/>
    <w:rsid w:val="00D94BD2"/>
    <w:rsid w:val="00D94C58"/>
    <w:rsid w:val="00D94F70"/>
    <w:rsid w:val="00D95759"/>
    <w:rsid w:val="00D95AA6"/>
    <w:rsid w:val="00D95DBD"/>
    <w:rsid w:val="00DA05B6"/>
    <w:rsid w:val="00DA3793"/>
    <w:rsid w:val="00DA3B16"/>
    <w:rsid w:val="00DA4462"/>
    <w:rsid w:val="00DA6A5A"/>
    <w:rsid w:val="00DA7A59"/>
    <w:rsid w:val="00DA7F85"/>
    <w:rsid w:val="00DB0773"/>
    <w:rsid w:val="00DB108C"/>
    <w:rsid w:val="00DB1C86"/>
    <w:rsid w:val="00DB62F3"/>
    <w:rsid w:val="00DB633C"/>
    <w:rsid w:val="00DB6F7D"/>
    <w:rsid w:val="00DB705E"/>
    <w:rsid w:val="00DC2774"/>
    <w:rsid w:val="00DC2832"/>
    <w:rsid w:val="00DC38CF"/>
    <w:rsid w:val="00DC5A50"/>
    <w:rsid w:val="00DC6327"/>
    <w:rsid w:val="00DD2623"/>
    <w:rsid w:val="00DD3B1A"/>
    <w:rsid w:val="00DD44C1"/>
    <w:rsid w:val="00DD616B"/>
    <w:rsid w:val="00DD768A"/>
    <w:rsid w:val="00DE1167"/>
    <w:rsid w:val="00DE189B"/>
    <w:rsid w:val="00DE1CE4"/>
    <w:rsid w:val="00DE1EDF"/>
    <w:rsid w:val="00DE259E"/>
    <w:rsid w:val="00DE3C2E"/>
    <w:rsid w:val="00DE4532"/>
    <w:rsid w:val="00DE4D0D"/>
    <w:rsid w:val="00DE4EA2"/>
    <w:rsid w:val="00DE6172"/>
    <w:rsid w:val="00DF045A"/>
    <w:rsid w:val="00DF0B42"/>
    <w:rsid w:val="00DF0DF0"/>
    <w:rsid w:val="00DF2CC4"/>
    <w:rsid w:val="00DF34E5"/>
    <w:rsid w:val="00DF368E"/>
    <w:rsid w:val="00DF459C"/>
    <w:rsid w:val="00DF54FE"/>
    <w:rsid w:val="00DF5B84"/>
    <w:rsid w:val="00E01BBD"/>
    <w:rsid w:val="00E033E8"/>
    <w:rsid w:val="00E04834"/>
    <w:rsid w:val="00E1049A"/>
    <w:rsid w:val="00E1070D"/>
    <w:rsid w:val="00E107A4"/>
    <w:rsid w:val="00E10D71"/>
    <w:rsid w:val="00E11130"/>
    <w:rsid w:val="00E11397"/>
    <w:rsid w:val="00E12BD1"/>
    <w:rsid w:val="00E13F2C"/>
    <w:rsid w:val="00E14D0E"/>
    <w:rsid w:val="00E14E32"/>
    <w:rsid w:val="00E15359"/>
    <w:rsid w:val="00E17CA8"/>
    <w:rsid w:val="00E205DD"/>
    <w:rsid w:val="00E208B3"/>
    <w:rsid w:val="00E211D4"/>
    <w:rsid w:val="00E2144F"/>
    <w:rsid w:val="00E220D5"/>
    <w:rsid w:val="00E228EA"/>
    <w:rsid w:val="00E243FD"/>
    <w:rsid w:val="00E248F6"/>
    <w:rsid w:val="00E24B8C"/>
    <w:rsid w:val="00E24D74"/>
    <w:rsid w:val="00E302EE"/>
    <w:rsid w:val="00E31569"/>
    <w:rsid w:val="00E31FB1"/>
    <w:rsid w:val="00E32BA7"/>
    <w:rsid w:val="00E34679"/>
    <w:rsid w:val="00E34CD9"/>
    <w:rsid w:val="00E36FAB"/>
    <w:rsid w:val="00E37FED"/>
    <w:rsid w:val="00E41CBC"/>
    <w:rsid w:val="00E41D35"/>
    <w:rsid w:val="00E445C7"/>
    <w:rsid w:val="00E5068B"/>
    <w:rsid w:val="00E526B1"/>
    <w:rsid w:val="00E53A17"/>
    <w:rsid w:val="00E53AC5"/>
    <w:rsid w:val="00E573F1"/>
    <w:rsid w:val="00E617CE"/>
    <w:rsid w:val="00E61863"/>
    <w:rsid w:val="00E62B83"/>
    <w:rsid w:val="00E62E8E"/>
    <w:rsid w:val="00E6303D"/>
    <w:rsid w:val="00E64376"/>
    <w:rsid w:val="00E67CA6"/>
    <w:rsid w:val="00E70493"/>
    <w:rsid w:val="00E7133D"/>
    <w:rsid w:val="00E71528"/>
    <w:rsid w:val="00E7190E"/>
    <w:rsid w:val="00E725EF"/>
    <w:rsid w:val="00E73D6C"/>
    <w:rsid w:val="00E742B5"/>
    <w:rsid w:val="00E7491E"/>
    <w:rsid w:val="00E74FE1"/>
    <w:rsid w:val="00E75F73"/>
    <w:rsid w:val="00E76D3A"/>
    <w:rsid w:val="00E77140"/>
    <w:rsid w:val="00E7735A"/>
    <w:rsid w:val="00E80291"/>
    <w:rsid w:val="00E80EBC"/>
    <w:rsid w:val="00E83F62"/>
    <w:rsid w:val="00E8485A"/>
    <w:rsid w:val="00E85394"/>
    <w:rsid w:val="00E858D4"/>
    <w:rsid w:val="00E85D48"/>
    <w:rsid w:val="00E86150"/>
    <w:rsid w:val="00E86DB7"/>
    <w:rsid w:val="00E87373"/>
    <w:rsid w:val="00E93013"/>
    <w:rsid w:val="00E93254"/>
    <w:rsid w:val="00E93317"/>
    <w:rsid w:val="00E93385"/>
    <w:rsid w:val="00E93B69"/>
    <w:rsid w:val="00E945EE"/>
    <w:rsid w:val="00E946B6"/>
    <w:rsid w:val="00E94A26"/>
    <w:rsid w:val="00E94EC3"/>
    <w:rsid w:val="00EA29D4"/>
    <w:rsid w:val="00EA3196"/>
    <w:rsid w:val="00EA537B"/>
    <w:rsid w:val="00EA58C4"/>
    <w:rsid w:val="00EA7588"/>
    <w:rsid w:val="00EA7C19"/>
    <w:rsid w:val="00EB1306"/>
    <w:rsid w:val="00EB47FB"/>
    <w:rsid w:val="00EB6847"/>
    <w:rsid w:val="00EC0BE1"/>
    <w:rsid w:val="00EC1558"/>
    <w:rsid w:val="00EC26DA"/>
    <w:rsid w:val="00EC32F6"/>
    <w:rsid w:val="00EC3CC5"/>
    <w:rsid w:val="00EC5586"/>
    <w:rsid w:val="00EC64F7"/>
    <w:rsid w:val="00ED03D5"/>
    <w:rsid w:val="00ED098B"/>
    <w:rsid w:val="00ED16CD"/>
    <w:rsid w:val="00ED2EA4"/>
    <w:rsid w:val="00ED6349"/>
    <w:rsid w:val="00EE0E7F"/>
    <w:rsid w:val="00EE1CA6"/>
    <w:rsid w:val="00EE2072"/>
    <w:rsid w:val="00EE2B54"/>
    <w:rsid w:val="00EE2C01"/>
    <w:rsid w:val="00EE3FE4"/>
    <w:rsid w:val="00EE4E1B"/>
    <w:rsid w:val="00EE50A3"/>
    <w:rsid w:val="00EF027F"/>
    <w:rsid w:val="00EF0E95"/>
    <w:rsid w:val="00EF12DE"/>
    <w:rsid w:val="00EF2203"/>
    <w:rsid w:val="00EF3183"/>
    <w:rsid w:val="00EF4A76"/>
    <w:rsid w:val="00EF4C72"/>
    <w:rsid w:val="00F0109C"/>
    <w:rsid w:val="00F01CEE"/>
    <w:rsid w:val="00F03010"/>
    <w:rsid w:val="00F055DE"/>
    <w:rsid w:val="00F1014B"/>
    <w:rsid w:val="00F12731"/>
    <w:rsid w:val="00F14F6A"/>
    <w:rsid w:val="00F15AD7"/>
    <w:rsid w:val="00F177E5"/>
    <w:rsid w:val="00F21CC5"/>
    <w:rsid w:val="00F22808"/>
    <w:rsid w:val="00F23E1C"/>
    <w:rsid w:val="00F30FBC"/>
    <w:rsid w:val="00F33A84"/>
    <w:rsid w:val="00F34C06"/>
    <w:rsid w:val="00F35D2C"/>
    <w:rsid w:val="00F40BC6"/>
    <w:rsid w:val="00F40D4B"/>
    <w:rsid w:val="00F42634"/>
    <w:rsid w:val="00F451E3"/>
    <w:rsid w:val="00F457B7"/>
    <w:rsid w:val="00F47551"/>
    <w:rsid w:val="00F50ABE"/>
    <w:rsid w:val="00F5238F"/>
    <w:rsid w:val="00F56819"/>
    <w:rsid w:val="00F56911"/>
    <w:rsid w:val="00F608A5"/>
    <w:rsid w:val="00F621EB"/>
    <w:rsid w:val="00F64287"/>
    <w:rsid w:val="00F64571"/>
    <w:rsid w:val="00F72334"/>
    <w:rsid w:val="00F72EBD"/>
    <w:rsid w:val="00F740E7"/>
    <w:rsid w:val="00F743E9"/>
    <w:rsid w:val="00F80497"/>
    <w:rsid w:val="00F808F6"/>
    <w:rsid w:val="00F80B38"/>
    <w:rsid w:val="00F81D15"/>
    <w:rsid w:val="00F82E38"/>
    <w:rsid w:val="00F83F8F"/>
    <w:rsid w:val="00F846BD"/>
    <w:rsid w:val="00F8480E"/>
    <w:rsid w:val="00F85913"/>
    <w:rsid w:val="00F85DCA"/>
    <w:rsid w:val="00F87DA9"/>
    <w:rsid w:val="00F933E1"/>
    <w:rsid w:val="00F94D98"/>
    <w:rsid w:val="00F96448"/>
    <w:rsid w:val="00F96D37"/>
    <w:rsid w:val="00F977ED"/>
    <w:rsid w:val="00F97CBF"/>
    <w:rsid w:val="00FA13CA"/>
    <w:rsid w:val="00FA2873"/>
    <w:rsid w:val="00FA4A86"/>
    <w:rsid w:val="00FA7CCC"/>
    <w:rsid w:val="00FB0BDE"/>
    <w:rsid w:val="00FB1C8E"/>
    <w:rsid w:val="00FB2A9F"/>
    <w:rsid w:val="00FB3329"/>
    <w:rsid w:val="00FB35E5"/>
    <w:rsid w:val="00FB3899"/>
    <w:rsid w:val="00FB3E6D"/>
    <w:rsid w:val="00FB48CC"/>
    <w:rsid w:val="00FC10C0"/>
    <w:rsid w:val="00FC3943"/>
    <w:rsid w:val="00FC430A"/>
    <w:rsid w:val="00FC6C89"/>
    <w:rsid w:val="00FD22BC"/>
    <w:rsid w:val="00FD2474"/>
    <w:rsid w:val="00FD288C"/>
    <w:rsid w:val="00FD4886"/>
    <w:rsid w:val="00FD4B0F"/>
    <w:rsid w:val="00FD555A"/>
    <w:rsid w:val="00FD6377"/>
    <w:rsid w:val="00FD6BC1"/>
    <w:rsid w:val="00FE0ECF"/>
    <w:rsid w:val="00FE222F"/>
    <w:rsid w:val="00FE2D95"/>
    <w:rsid w:val="00FE4A8E"/>
    <w:rsid w:val="00FE4DB1"/>
    <w:rsid w:val="00FE5F00"/>
    <w:rsid w:val="00FE693F"/>
    <w:rsid w:val="00FE6F97"/>
    <w:rsid w:val="00FE75BA"/>
    <w:rsid w:val="00FE7830"/>
    <w:rsid w:val="00FF02A6"/>
    <w:rsid w:val="00FF2487"/>
    <w:rsid w:val="00FF293A"/>
    <w:rsid w:val="00FF32DD"/>
    <w:rsid w:val="00FF3C89"/>
    <w:rsid w:val="00FF468F"/>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000D9"/>
  <w15:docId w15:val="{F216AE99-D428-414E-AFA8-93E567E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A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9A4"/>
    <w:pPr>
      <w:widowControl w:val="0"/>
      <w:overflowPunct w:val="0"/>
      <w:autoSpaceDE w:val="0"/>
      <w:autoSpaceDN w:val="0"/>
      <w:adjustRightInd w:val="0"/>
      <w:textAlignment w:val="baseline"/>
    </w:pPr>
    <w:tblPr/>
  </w:style>
  <w:style w:type="paragraph" w:customStyle="1" w:styleId="c11">
    <w:name w:val="c11"/>
    <w:basedOn w:val="Normal"/>
    <w:rsid w:val="00885507"/>
    <w:pPr>
      <w:spacing w:before="100" w:beforeAutospacing="1" w:after="100" w:afterAutospacing="1"/>
    </w:pPr>
    <w:rPr>
      <w:lang w:val="en-US"/>
    </w:rPr>
  </w:style>
  <w:style w:type="character" w:customStyle="1" w:styleId="c135">
    <w:name w:val="c135"/>
    <w:basedOn w:val="DefaultParagraphFont"/>
    <w:rsid w:val="00885507"/>
  </w:style>
  <w:style w:type="paragraph" w:styleId="NormalWeb">
    <w:name w:val="Normal (Web)"/>
    <w:basedOn w:val="Normal"/>
    <w:uiPriority w:val="99"/>
    <w:unhideWhenUsed/>
    <w:rsid w:val="00952015"/>
    <w:pPr>
      <w:spacing w:before="100" w:beforeAutospacing="1" w:after="100" w:afterAutospacing="1"/>
    </w:pPr>
    <w:rPr>
      <w:rFonts w:eastAsia="Calibri"/>
      <w:lang w:val="en-US"/>
    </w:rPr>
  </w:style>
  <w:style w:type="character" w:styleId="Hyperlink">
    <w:name w:val="Hyperlink"/>
    <w:basedOn w:val="DefaultParagraphFont"/>
    <w:uiPriority w:val="99"/>
    <w:rsid w:val="00C04222"/>
    <w:rPr>
      <w:rFonts w:cs="Times New Roman"/>
      <w:color w:val="0000FF"/>
      <w:u w:val="single"/>
    </w:rPr>
  </w:style>
  <w:style w:type="paragraph" w:styleId="ListParagraph">
    <w:name w:val="List Paragraph"/>
    <w:basedOn w:val="Normal"/>
    <w:uiPriority w:val="1"/>
    <w:qFormat/>
    <w:rsid w:val="00402FE7"/>
    <w:pPr>
      <w:ind w:left="720"/>
      <w:contextualSpacing/>
    </w:pPr>
  </w:style>
  <w:style w:type="paragraph" w:styleId="Header">
    <w:name w:val="header"/>
    <w:basedOn w:val="Normal"/>
    <w:link w:val="HeaderChar"/>
    <w:rsid w:val="001008F0"/>
    <w:pPr>
      <w:tabs>
        <w:tab w:val="center" w:pos="4513"/>
        <w:tab w:val="right" w:pos="9026"/>
      </w:tabs>
    </w:pPr>
  </w:style>
  <w:style w:type="character" w:customStyle="1" w:styleId="HeaderChar">
    <w:name w:val="Header Char"/>
    <w:basedOn w:val="DefaultParagraphFont"/>
    <w:link w:val="Header"/>
    <w:rsid w:val="001008F0"/>
    <w:rPr>
      <w:sz w:val="24"/>
      <w:szCs w:val="24"/>
      <w:lang w:eastAsia="en-US"/>
    </w:rPr>
  </w:style>
  <w:style w:type="paragraph" w:styleId="Footer">
    <w:name w:val="footer"/>
    <w:basedOn w:val="Normal"/>
    <w:link w:val="FooterChar"/>
    <w:rsid w:val="001008F0"/>
    <w:pPr>
      <w:tabs>
        <w:tab w:val="center" w:pos="4513"/>
        <w:tab w:val="right" w:pos="9026"/>
      </w:tabs>
    </w:pPr>
  </w:style>
  <w:style w:type="character" w:customStyle="1" w:styleId="FooterChar">
    <w:name w:val="Footer Char"/>
    <w:basedOn w:val="DefaultParagraphFont"/>
    <w:link w:val="Footer"/>
    <w:rsid w:val="001008F0"/>
    <w:rPr>
      <w:sz w:val="24"/>
      <w:szCs w:val="24"/>
      <w:lang w:eastAsia="en-US"/>
    </w:rPr>
  </w:style>
  <w:style w:type="paragraph" w:styleId="BalloonText">
    <w:name w:val="Balloon Text"/>
    <w:basedOn w:val="Normal"/>
    <w:link w:val="BalloonTextChar"/>
    <w:semiHidden/>
    <w:unhideWhenUsed/>
    <w:rsid w:val="005824B6"/>
    <w:rPr>
      <w:rFonts w:ascii="Segoe UI" w:hAnsi="Segoe UI" w:cs="Segoe UI"/>
      <w:sz w:val="18"/>
      <w:szCs w:val="18"/>
    </w:rPr>
  </w:style>
  <w:style w:type="character" w:customStyle="1" w:styleId="BalloonTextChar">
    <w:name w:val="Balloon Text Char"/>
    <w:basedOn w:val="DefaultParagraphFont"/>
    <w:link w:val="BalloonText"/>
    <w:semiHidden/>
    <w:rsid w:val="005824B6"/>
    <w:rPr>
      <w:rFonts w:ascii="Segoe UI" w:hAnsi="Segoe UI" w:cs="Segoe UI"/>
      <w:sz w:val="18"/>
      <w:szCs w:val="18"/>
      <w:lang w:eastAsia="en-US"/>
    </w:rPr>
  </w:style>
  <w:style w:type="paragraph" w:styleId="BodyText">
    <w:name w:val="Body Text"/>
    <w:basedOn w:val="Normal"/>
    <w:link w:val="BodyTextChar"/>
    <w:uiPriority w:val="1"/>
    <w:unhideWhenUsed/>
    <w:qFormat/>
    <w:rsid w:val="00D86859"/>
    <w:pPr>
      <w:widowControl w:val="0"/>
      <w:autoSpaceDE w:val="0"/>
      <w:autoSpaceDN w:val="0"/>
      <w:ind w:left="198"/>
    </w:pPr>
    <w:rPr>
      <w:rFonts w:ascii="Calibri Light" w:eastAsia="Calibri Light" w:hAnsi="Calibri Light" w:cs="Calibri Light"/>
      <w:sz w:val="22"/>
      <w:szCs w:val="22"/>
    </w:rPr>
  </w:style>
  <w:style w:type="character" w:customStyle="1" w:styleId="BodyTextChar">
    <w:name w:val="Body Text Char"/>
    <w:basedOn w:val="DefaultParagraphFont"/>
    <w:link w:val="BodyText"/>
    <w:uiPriority w:val="1"/>
    <w:rsid w:val="00D86859"/>
    <w:rPr>
      <w:rFonts w:ascii="Calibri Light" w:eastAsia="Calibri Light" w:hAnsi="Calibri Light" w:cs="Calibri Light"/>
      <w:sz w:val="22"/>
      <w:szCs w:val="22"/>
      <w:lang w:eastAsia="en-US"/>
    </w:rPr>
  </w:style>
  <w:style w:type="character" w:styleId="UnresolvedMention">
    <w:name w:val="Unresolved Mention"/>
    <w:basedOn w:val="DefaultParagraphFont"/>
    <w:uiPriority w:val="99"/>
    <w:semiHidden/>
    <w:unhideWhenUsed/>
    <w:rsid w:val="00B34AC5"/>
    <w:rPr>
      <w:color w:val="605E5C"/>
      <w:shd w:val="clear" w:color="auto" w:fill="E1DFDD"/>
    </w:rPr>
  </w:style>
  <w:style w:type="character" w:styleId="CommentReference">
    <w:name w:val="annotation reference"/>
    <w:basedOn w:val="DefaultParagraphFont"/>
    <w:semiHidden/>
    <w:unhideWhenUsed/>
    <w:rsid w:val="00B565B2"/>
    <w:rPr>
      <w:sz w:val="16"/>
      <w:szCs w:val="16"/>
    </w:rPr>
  </w:style>
  <w:style w:type="paragraph" w:styleId="CommentText">
    <w:name w:val="annotation text"/>
    <w:basedOn w:val="Normal"/>
    <w:link w:val="CommentTextChar"/>
    <w:unhideWhenUsed/>
    <w:rsid w:val="00B565B2"/>
    <w:rPr>
      <w:sz w:val="20"/>
      <w:szCs w:val="20"/>
    </w:rPr>
  </w:style>
  <w:style w:type="character" w:customStyle="1" w:styleId="CommentTextChar">
    <w:name w:val="Comment Text Char"/>
    <w:basedOn w:val="DefaultParagraphFont"/>
    <w:link w:val="CommentText"/>
    <w:rsid w:val="00B565B2"/>
    <w:rPr>
      <w:lang w:eastAsia="en-US"/>
    </w:rPr>
  </w:style>
  <w:style w:type="paragraph" w:styleId="CommentSubject">
    <w:name w:val="annotation subject"/>
    <w:basedOn w:val="CommentText"/>
    <w:next w:val="CommentText"/>
    <w:link w:val="CommentSubjectChar"/>
    <w:semiHidden/>
    <w:unhideWhenUsed/>
    <w:rsid w:val="00B565B2"/>
    <w:rPr>
      <w:b/>
      <w:bCs/>
    </w:rPr>
  </w:style>
  <w:style w:type="character" w:customStyle="1" w:styleId="CommentSubjectChar">
    <w:name w:val="Comment Subject Char"/>
    <w:basedOn w:val="CommentTextChar"/>
    <w:link w:val="CommentSubject"/>
    <w:semiHidden/>
    <w:rsid w:val="00B565B2"/>
    <w:rPr>
      <w:b/>
      <w:bCs/>
      <w:lang w:eastAsia="en-US"/>
    </w:rPr>
  </w:style>
  <w:style w:type="paragraph" w:styleId="Revision">
    <w:name w:val="Revision"/>
    <w:hidden/>
    <w:uiPriority w:val="99"/>
    <w:semiHidden/>
    <w:rsid w:val="009A5A69"/>
    <w:rPr>
      <w:sz w:val="24"/>
      <w:szCs w:val="24"/>
      <w:lang w:eastAsia="en-US"/>
    </w:rPr>
  </w:style>
  <w:style w:type="paragraph" w:styleId="EndnoteText">
    <w:name w:val="endnote text"/>
    <w:basedOn w:val="Normal"/>
    <w:link w:val="EndnoteTextChar"/>
    <w:semiHidden/>
    <w:unhideWhenUsed/>
    <w:rsid w:val="002A01BF"/>
    <w:rPr>
      <w:sz w:val="20"/>
      <w:szCs w:val="20"/>
    </w:rPr>
  </w:style>
  <w:style w:type="character" w:customStyle="1" w:styleId="EndnoteTextChar">
    <w:name w:val="Endnote Text Char"/>
    <w:basedOn w:val="DefaultParagraphFont"/>
    <w:link w:val="EndnoteText"/>
    <w:semiHidden/>
    <w:rsid w:val="002A01BF"/>
    <w:rPr>
      <w:lang w:eastAsia="en-US"/>
    </w:rPr>
  </w:style>
  <w:style w:type="character" w:styleId="EndnoteReference">
    <w:name w:val="endnote reference"/>
    <w:basedOn w:val="DefaultParagraphFont"/>
    <w:semiHidden/>
    <w:unhideWhenUsed/>
    <w:rsid w:val="002A0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879">
      <w:bodyDiv w:val="1"/>
      <w:marLeft w:val="0"/>
      <w:marRight w:val="0"/>
      <w:marTop w:val="0"/>
      <w:marBottom w:val="0"/>
      <w:divBdr>
        <w:top w:val="none" w:sz="0" w:space="0" w:color="auto"/>
        <w:left w:val="none" w:sz="0" w:space="0" w:color="auto"/>
        <w:bottom w:val="none" w:sz="0" w:space="0" w:color="auto"/>
        <w:right w:val="none" w:sz="0" w:space="0" w:color="auto"/>
      </w:divBdr>
    </w:div>
    <w:div w:id="34164397">
      <w:bodyDiv w:val="1"/>
      <w:marLeft w:val="0"/>
      <w:marRight w:val="0"/>
      <w:marTop w:val="0"/>
      <w:marBottom w:val="0"/>
      <w:divBdr>
        <w:top w:val="none" w:sz="0" w:space="0" w:color="auto"/>
        <w:left w:val="none" w:sz="0" w:space="0" w:color="auto"/>
        <w:bottom w:val="none" w:sz="0" w:space="0" w:color="auto"/>
        <w:right w:val="none" w:sz="0" w:space="0" w:color="auto"/>
      </w:divBdr>
    </w:div>
    <w:div w:id="36660935">
      <w:bodyDiv w:val="1"/>
      <w:marLeft w:val="0"/>
      <w:marRight w:val="0"/>
      <w:marTop w:val="0"/>
      <w:marBottom w:val="0"/>
      <w:divBdr>
        <w:top w:val="none" w:sz="0" w:space="0" w:color="auto"/>
        <w:left w:val="none" w:sz="0" w:space="0" w:color="auto"/>
        <w:bottom w:val="none" w:sz="0" w:space="0" w:color="auto"/>
        <w:right w:val="none" w:sz="0" w:space="0" w:color="auto"/>
      </w:divBdr>
    </w:div>
    <w:div w:id="38478765">
      <w:bodyDiv w:val="1"/>
      <w:marLeft w:val="0"/>
      <w:marRight w:val="0"/>
      <w:marTop w:val="0"/>
      <w:marBottom w:val="0"/>
      <w:divBdr>
        <w:top w:val="none" w:sz="0" w:space="0" w:color="auto"/>
        <w:left w:val="none" w:sz="0" w:space="0" w:color="auto"/>
        <w:bottom w:val="none" w:sz="0" w:space="0" w:color="auto"/>
        <w:right w:val="none" w:sz="0" w:space="0" w:color="auto"/>
      </w:divBdr>
    </w:div>
    <w:div w:id="53897420">
      <w:bodyDiv w:val="1"/>
      <w:marLeft w:val="0"/>
      <w:marRight w:val="0"/>
      <w:marTop w:val="0"/>
      <w:marBottom w:val="0"/>
      <w:divBdr>
        <w:top w:val="none" w:sz="0" w:space="0" w:color="auto"/>
        <w:left w:val="none" w:sz="0" w:space="0" w:color="auto"/>
        <w:bottom w:val="none" w:sz="0" w:space="0" w:color="auto"/>
        <w:right w:val="none" w:sz="0" w:space="0" w:color="auto"/>
      </w:divBdr>
    </w:div>
    <w:div w:id="54592992">
      <w:bodyDiv w:val="1"/>
      <w:marLeft w:val="0"/>
      <w:marRight w:val="0"/>
      <w:marTop w:val="0"/>
      <w:marBottom w:val="0"/>
      <w:divBdr>
        <w:top w:val="none" w:sz="0" w:space="0" w:color="auto"/>
        <w:left w:val="none" w:sz="0" w:space="0" w:color="auto"/>
        <w:bottom w:val="none" w:sz="0" w:space="0" w:color="auto"/>
        <w:right w:val="none" w:sz="0" w:space="0" w:color="auto"/>
      </w:divBdr>
    </w:div>
    <w:div w:id="74520004">
      <w:bodyDiv w:val="1"/>
      <w:marLeft w:val="0"/>
      <w:marRight w:val="0"/>
      <w:marTop w:val="0"/>
      <w:marBottom w:val="0"/>
      <w:divBdr>
        <w:top w:val="none" w:sz="0" w:space="0" w:color="auto"/>
        <w:left w:val="none" w:sz="0" w:space="0" w:color="auto"/>
        <w:bottom w:val="none" w:sz="0" w:space="0" w:color="auto"/>
        <w:right w:val="none" w:sz="0" w:space="0" w:color="auto"/>
      </w:divBdr>
    </w:div>
    <w:div w:id="98918887">
      <w:bodyDiv w:val="1"/>
      <w:marLeft w:val="0"/>
      <w:marRight w:val="0"/>
      <w:marTop w:val="0"/>
      <w:marBottom w:val="0"/>
      <w:divBdr>
        <w:top w:val="none" w:sz="0" w:space="0" w:color="auto"/>
        <w:left w:val="none" w:sz="0" w:space="0" w:color="auto"/>
        <w:bottom w:val="none" w:sz="0" w:space="0" w:color="auto"/>
        <w:right w:val="none" w:sz="0" w:space="0" w:color="auto"/>
      </w:divBdr>
    </w:div>
    <w:div w:id="99642715">
      <w:bodyDiv w:val="1"/>
      <w:marLeft w:val="0"/>
      <w:marRight w:val="0"/>
      <w:marTop w:val="0"/>
      <w:marBottom w:val="0"/>
      <w:divBdr>
        <w:top w:val="none" w:sz="0" w:space="0" w:color="auto"/>
        <w:left w:val="none" w:sz="0" w:space="0" w:color="auto"/>
        <w:bottom w:val="none" w:sz="0" w:space="0" w:color="auto"/>
        <w:right w:val="none" w:sz="0" w:space="0" w:color="auto"/>
      </w:divBdr>
    </w:div>
    <w:div w:id="173619635">
      <w:bodyDiv w:val="1"/>
      <w:marLeft w:val="0"/>
      <w:marRight w:val="0"/>
      <w:marTop w:val="0"/>
      <w:marBottom w:val="0"/>
      <w:divBdr>
        <w:top w:val="none" w:sz="0" w:space="0" w:color="auto"/>
        <w:left w:val="none" w:sz="0" w:space="0" w:color="auto"/>
        <w:bottom w:val="none" w:sz="0" w:space="0" w:color="auto"/>
        <w:right w:val="none" w:sz="0" w:space="0" w:color="auto"/>
      </w:divBdr>
      <w:divsChild>
        <w:div w:id="899901711">
          <w:marLeft w:val="0"/>
          <w:marRight w:val="0"/>
          <w:marTop w:val="0"/>
          <w:marBottom w:val="0"/>
          <w:divBdr>
            <w:top w:val="none" w:sz="0" w:space="0" w:color="auto"/>
            <w:left w:val="none" w:sz="0" w:space="0" w:color="auto"/>
            <w:bottom w:val="none" w:sz="0" w:space="0" w:color="auto"/>
            <w:right w:val="none" w:sz="0" w:space="0" w:color="auto"/>
          </w:divBdr>
        </w:div>
      </w:divsChild>
    </w:div>
    <w:div w:id="175340774">
      <w:bodyDiv w:val="1"/>
      <w:marLeft w:val="0"/>
      <w:marRight w:val="0"/>
      <w:marTop w:val="0"/>
      <w:marBottom w:val="0"/>
      <w:divBdr>
        <w:top w:val="none" w:sz="0" w:space="0" w:color="auto"/>
        <w:left w:val="none" w:sz="0" w:space="0" w:color="auto"/>
        <w:bottom w:val="none" w:sz="0" w:space="0" w:color="auto"/>
        <w:right w:val="none" w:sz="0" w:space="0" w:color="auto"/>
      </w:divBdr>
    </w:div>
    <w:div w:id="200748362">
      <w:bodyDiv w:val="1"/>
      <w:marLeft w:val="0"/>
      <w:marRight w:val="0"/>
      <w:marTop w:val="0"/>
      <w:marBottom w:val="0"/>
      <w:divBdr>
        <w:top w:val="none" w:sz="0" w:space="0" w:color="auto"/>
        <w:left w:val="none" w:sz="0" w:space="0" w:color="auto"/>
        <w:bottom w:val="none" w:sz="0" w:space="0" w:color="auto"/>
        <w:right w:val="none" w:sz="0" w:space="0" w:color="auto"/>
      </w:divBdr>
    </w:div>
    <w:div w:id="228613726">
      <w:bodyDiv w:val="1"/>
      <w:marLeft w:val="0"/>
      <w:marRight w:val="0"/>
      <w:marTop w:val="0"/>
      <w:marBottom w:val="0"/>
      <w:divBdr>
        <w:top w:val="none" w:sz="0" w:space="0" w:color="auto"/>
        <w:left w:val="none" w:sz="0" w:space="0" w:color="auto"/>
        <w:bottom w:val="none" w:sz="0" w:space="0" w:color="auto"/>
        <w:right w:val="none" w:sz="0" w:space="0" w:color="auto"/>
      </w:divBdr>
    </w:div>
    <w:div w:id="230970533">
      <w:bodyDiv w:val="1"/>
      <w:marLeft w:val="0"/>
      <w:marRight w:val="0"/>
      <w:marTop w:val="0"/>
      <w:marBottom w:val="0"/>
      <w:divBdr>
        <w:top w:val="none" w:sz="0" w:space="0" w:color="auto"/>
        <w:left w:val="none" w:sz="0" w:space="0" w:color="auto"/>
        <w:bottom w:val="none" w:sz="0" w:space="0" w:color="auto"/>
        <w:right w:val="none" w:sz="0" w:space="0" w:color="auto"/>
      </w:divBdr>
    </w:div>
    <w:div w:id="233783586">
      <w:bodyDiv w:val="1"/>
      <w:marLeft w:val="0"/>
      <w:marRight w:val="0"/>
      <w:marTop w:val="0"/>
      <w:marBottom w:val="0"/>
      <w:divBdr>
        <w:top w:val="none" w:sz="0" w:space="0" w:color="auto"/>
        <w:left w:val="none" w:sz="0" w:space="0" w:color="auto"/>
        <w:bottom w:val="none" w:sz="0" w:space="0" w:color="auto"/>
        <w:right w:val="none" w:sz="0" w:space="0" w:color="auto"/>
      </w:divBdr>
    </w:div>
    <w:div w:id="243151647">
      <w:bodyDiv w:val="1"/>
      <w:marLeft w:val="0"/>
      <w:marRight w:val="0"/>
      <w:marTop w:val="0"/>
      <w:marBottom w:val="0"/>
      <w:divBdr>
        <w:top w:val="none" w:sz="0" w:space="0" w:color="auto"/>
        <w:left w:val="none" w:sz="0" w:space="0" w:color="auto"/>
        <w:bottom w:val="none" w:sz="0" w:space="0" w:color="auto"/>
        <w:right w:val="none" w:sz="0" w:space="0" w:color="auto"/>
      </w:divBdr>
    </w:div>
    <w:div w:id="245189565">
      <w:bodyDiv w:val="1"/>
      <w:marLeft w:val="0"/>
      <w:marRight w:val="0"/>
      <w:marTop w:val="0"/>
      <w:marBottom w:val="0"/>
      <w:divBdr>
        <w:top w:val="none" w:sz="0" w:space="0" w:color="auto"/>
        <w:left w:val="none" w:sz="0" w:space="0" w:color="auto"/>
        <w:bottom w:val="none" w:sz="0" w:space="0" w:color="auto"/>
        <w:right w:val="none" w:sz="0" w:space="0" w:color="auto"/>
      </w:divBdr>
    </w:div>
    <w:div w:id="290717872">
      <w:bodyDiv w:val="1"/>
      <w:marLeft w:val="0"/>
      <w:marRight w:val="0"/>
      <w:marTop w:val="0"/>
      <w:marBottom w:val="0"/>
      <w:divBdr>
        <w:top w:val="none" w:sz="0" w:space="0" w:color="auto"/>
        <w:left w:val="none" w:sz="0" w:space="0" w:color="auto"/>
        <w:bottom w:val="none" w:sz="0" w:space="0" w:color="auto"/>
        <w:right w:val="none" w:sz="0" w:space="0" w:color="auto"/>
      </w:divBdr>
    </w:div>
    <w:div w:id="297223142">
      <w:bodyDiv w:val="1"/>
      <w:marLeft w:val="0"/>
      <w:marRight w:val="0"/>
      <w:marTop w:val="0"/>
      <w:marBottom w:val="0"/>
      <w:divBdr>
        <w:top w:val="none" w:sz="0" w:space="0" w:color="auto"/>
        <w:left w:val="none" w:sz="0" w:space="0" w:color="auto"/>
        <w:bottom w:val="none" w:sz="0" w:space="0" w:color="auto"/>
        <w:right w:val="none" w:sz="0" w:space="0" w:color="auto"/>
      </w:divBdr>
    </w:div>
    <w:div w:id="307167734">
      <w:bodyDiv w:val="1"/>
      <w:marLeft w:val="0"/>
      <w:marRight w:val="0"/>
      <w:marTop w:val="0"/>
      <w:marBottom w:val="0"/>
      <w:divBdr>
        <w:top w:val="none" w:sz="0" w:space="0" w:color="auto"/>
        <w:left w:val="none" w:sz="0" w:space="0" w:color="auto"/>
        <w:bottom w:val="none" w:sz="0" w:space="0" w:color="auto"/>
        <w:right w:val="none" w:sz="0" w:space="0" w:color="auto"/>
      </w:divBdr>
    </w:div>
    <w:div w:id="310644159">
      <w:bodyDiv w:val="1"/>
      <w:marLeft w:val="0"/>
      <w:marRight w:val="0"/>
      <w:marTop w:val="0"/>
      <w:marBottom w:val="0"/>
      <w:divBdr>
        <w:top w:val="none" w:sz="0" w:space="0" w:color="auto"/>
        <w:left w:val="none" w:sz="0" w:space="0" w:color="auto"/>
        <w:bottom w:val="none" w:sz="0" w:space="0" w:color="auto"/>
        <w:right w:val="none" w:sz="0" w:space="0" w:color="auto"/>
      </w:divBdr>
    </w:div>
    <w:div w:id="332993067">
      <w:bodyDiv w:val="1"/>
      <w:marLeft w:val="0"/>
      <w:marRight w:val="0"/>
      <w:marTop w:val="0"/>
      <w:marBottom w:val="0"/>
      <w:divBdr>
        <w:top w:val="none" w:sz="0" w:space="0" w:color="auto"/>
        <w:left w:val="none" w:sz="0" w:space="0" w:color="auto"/>
        <w:bottom w:val="none" w:sz="0" w:space="0" w:color="auto"/>
        <w:right w:val="none" w:sz="0" w:space="0" w:color="auto"/>
      </w:divBdr>
    </w:div>
    <w:div w:id="338653309">
      <w:bodyDiv w:val="1"/>
      <w:marLeft w:val="0"/>
      <w:marRight w:val="0"/>
      <w:marTop w:val="0"/>
      <w:marBottom w:val="0"/>
      <w:divBdr>
        <w:top w:val="none" w:sz="0" w:space="0" w:color="auto"/>
        <w:left w:val="none" w:sz="0" w:space="0" w:color="auto"/>
        <w:bottom w:val="none" w:sz="0" w:space="0" w:color="auto"/>
        <w:right w:val="none" w:sz="0" w:space="0" w:color="auto"/>
      </w:divBdr>
    </w:div>
    <w:div w:id="352654635">
      <w:bodyDiv w:val="1"/>
      <w:marLeft w:val="0"/>
      <w:marRight w:val="0"/>
      <w:marTop w:val="0"/>
      <w:marBottom w:val="0"/>
      <w:divBdr>
        <w:top w:val="none" w:sz="0" w:space="0" w:color="auto"/>
        <w:left w:val="none" w:sz="0" w:space="0" w:color="auto"/>
        <w:bottom w:val="none" w:sz="0" w:space="0" w:color="auto"/>
        <w:right w:val="none" w:sz="0" w:space="0" w:color="auto"/>
      </w:divBdr>
    </w:div>
    <w:div w:id="361976318">
      <w:bodyDiv w:val="1"/>
      <w:marLeft w:val="0"/>
      <w:marRight w:val="0"/>
      <w:marTop w:val="0"/>
      <w:marBottom w:val="0"/>
      <w:divBdr>
        <w:top w:val="none" w:sz="0" w:space="0" w:color="auto"/>
        <w:left w:val="none" w:sz="0" w:space="0" w:color="auto"/>
        <w:bottom w:val="none" w:sz="0" w:space="0" w:color="auto"/>
        <w:right w:val="none" w:sz="0" w:space="0" w:color="auto"/>
      </w:divBdr>
    </w:div>
    <w:div w:id="420682395">
      <w:bodyDiv w:val="1"/>
      <w:marLeft w:val="0"/>
      <w:marRight w:val="0"/>
      <w:marTop w:val="0"/>
      <w:marBottom w:val="0"/>
      <w:divBdr>
        <w:top w:val="none" w:sz="0" w:space="0" w:color="auto"/>
        <w:left w:val="none" w:sz="0" w:space="0" w:color="auto"/>
        <w:bottom w:val="none" w:sz="0" w:space="0" w:color="auto"/>
        <w:right w:val="none" w:sz="0" w:space="0" w:color="auto"/>
      </w:divBdr>
    </w:div>
    <w:div w:id="469592243">
      <w:bodyDiv w:val="1"/>
      <w:marLeft w:val="0"/>
      <w:marRight w:val="0"/>
      <w:marTop w:val="0"/>
      <w:marBottom w:val="0"/>
      <w:divBdr>
        <w:top w:val="none" w:sz="0" w:space="0" w:color="auto"/>
        <w:left w:val="none" w:sz="0" w:space="0" w:color="auto"/>
        <w:bottom w:val="none" w:sz="0" w:space="0" w:color="auto"/>
        <w:right w:val="none" w:sz="0" w:space="0" w:color="auto"/>
      </w:divBdr>
    </w:div>
    <w:div w:id="470026581">
      <w:bodyDiv w:val="1"/>
      <w:marLeft w:val="0"/>
      <w:marRight w:val="0"/>
      <w:marTop w:val="0"/>
      <w:marBottom w:val="0"/>
      <w:divBdr>
        <w:top w:val="none" w:sz="0" w:space="0" w:color="auto"/>
        <w:left w:val="none" w:sz="0" w:space="0" w:color="auto"/>
        <w:bottom w:val="none" w:sz="0" w:space="0" w:color="auto"/>
        <w:right w:val="none" w:sz="0" w:space="0" w:color="auto"/>
      </w:divBdr>
    </w:div>
    <w:div w:id="489830414">
      <w:bodyDiv w:val="1"/>
      <w:marLeft w:val="0"/>
      <w:marRight w:val="0"/>
      <w:marTop w:val="0"/>
      <w:marBottom w:val="0"/>
      <w:divBdr>
        <w:top w:val="none" w:sz="0" w:space="0" w:color="auto"/>
        <w:left w:val="none" w:sz="0" w:space="0" w:color="auto"/>
        <w:bottom w:val="none" w:sz="0" w:space="0" w:color="auto"/>
        <w:right w:val="none" w:sz="0" w:space="0" w:color="auto"/>
      </w:divBdr>
    </w:div>
    <w:div w:id="509293422">
      <w:bodyDiv w:val="1"/>
      <w:marLeft w:val="0"/>
      <w:marRight w:val="0"/>
      <w:marTop w:val="0"/>
      <w:marBottom w:val="0"/>
      <w:divBdr>
        <w:top w:val="none" w:sz="0" w:space="0" w:color="auto"/>
        <w:left w:val="none" w:sz="0" w:space="0" w:color="auto"/>
        <w:bottom w:val="none" w:sz="0" w:space="0" w:color="auto"/>
        <w:right w:val="none" w:sz="0" w:space="0" w:color="auto"/>
      </w:divBdr>
    </w:div>
    <w:div w:id="527715562">
      <w:bodyDiv w:val="1"/>
      <w:marLeft w:val="0"/>
      <w:marRight w:val="0"/>
      <w:marTop w:val="0"/>
      <w:marBottom w:val="0"/>
      <w:divBdr>
        <w:top w:val="none" w:sz="0" w:space="0" w:color="auto"/>
        <w:left w:val="none" w:sz="0" w:space="0" w:color="auto"/>
        <w:bottom w:val="none" w:sz="0" w:space="0" w:color="auto"/>
        <w:right w:val="none" w:sz="0" w:space="0" w:color="auto"/>
      </w:divBdr>
    </w:div>
    <w:div w:id="552540061">
      <w:bodyDiv w:val="1"/>
      <w:marLeft w:val="0"/>
      <w:marRight w:val="0"/>
      <w:marTop w:val="0"/>
      <w:marBottom w:val="0"/>
      <w:divBdr>
        <w:top w:val="none" w:sz="0" w:space="0" w:color="auto"/>
        <w:left w:val="none" w:sz="0" w:space="0" w:color="auto"/>
        <w:bottom w:val="none" w:sz="0" w:space="0" w:color="auto"/>
        <w:right w:val="none" w:sz="0" w:space="0" w:color="auto"/>
      </w:divBdr>
    </w:div>
    <w:div w:id="561599309">
      <w:bodyDiv w:val="1"/>
      <w:marLeft w:val="0"/>
      <w:marRight w:val="0"/>
      <w:marTop w:val="0"/>
      <w:marBottom w:val="0"/>
      <w:divBdr>
        <w:top w:val="none" w:sz="0" w:space="0" w:color="auto"/>
        <w:left w:val="none" w:sz="0" w:space="0" w:color="auto"/>
        <w:bottom w:val="none" w:sz="0" w:space="0" w:color="auto"/>
        <w:right w:val="none" w:sz="0" w:space="0" w:color="auto"/>
      </w:divBdr>
    </w:div>
    <w:div w:id="573201973">
      <w:bodyDiv w:val="1"/>
      <w:marLeft w:val="0"/>
      <w:marRight w:val="0"/>
      <w:marTop w:val="0"/>
      <w:marBottom w:val="0"/>
      <w:divBdr>
        <w:top w:val="none" w:sz="0" w:space="0" w:color="auto"/>
        <w:left w:val="none" w:sz="0" w:space="0" w:color="auto"/>
        <w:bottom w:val="none" w:sz="0" w:space="0" w:color="auto"/>
        <w:right w:val="none" w:sz="0" w:space="0" w:color="auto"/>
      </w:divBdr>
    </w:div>
    <w:div w:id="578640111">
      <w:bodyDiv w:val="1"/>
      <w:marLeft w:val="0"/>
      <w:marRight w:val="0"/>
      <w:marTop w:val="0"/>
      <w:marBottom w:val="0"/>
      <w:divBdr>
        <w:top w:val="none" w:sz="0" w:space="0" w:color="auto"/>
        <w:left w:val="none" w:sz="0" w:space="0" w:color="auto"/>
        <w:bottom w:val="none" w:sz="0" w:space="0" w:color="auto"/>
        <w:right w:val="none" w:sz="0" w:space="0" w:color="auto"/>
      </w:divBdr>
    </w:div>
    <w:div w:id="612592264">
      <w:bodyDiv w:val="1"/>
      <w:marLeft w:val="0"/>
      <w:marRight w:val="0"/>
      <w:marTop w:val="0"/>
      <w:marBottom w:val="0"/>
      <w:divBdr>
        <w:top w:val="none" w:sz="0" w:space="0" w:color="auto"/>
        <w:left w:val="none" w:sz="0" w:space="0" w:color="auto"/>
        <w:bottom w:val="none" w:sz="0" w:space="0" w:color="auto"/>
        <w:right w:val="none" w:sz="0" w:space="0" w:color="auto"/>
      </w:divBdr>
    </w:div>
    <w:div w:id="645010243">
      <w:bodyDiv w:val="1"/>
      <w:marLeft w:val="0"/>
      <w:marRight w:val="0"/>
      <w:marTop w:val="0"/>
      <w:marBottom w:val="0"/>
      <w:divBdr>
        <w:top w:val="none" w:sz="0" w:space="0" w:color="auto"/>
        <w:left w:val="none" w:sz="0" w:space="0" w:color="auto"/>
        <w:bottom w:val="none" w:sz="0" w:space="0" w:color="auto"/>
        <w:right w:val="none" w:sz="0" w:space="0" w:color="auto"/>
      </w:divBdr>
    </w:div>
    <w:div w:id="662777494">
      <w:bodyDiv w:val="1"/>
      <w:marLeft w:val="0"/>
      <w:marRight w:val="0"/>
      <w:marTop w:val="0"/>
      <w:marBottom w:val="0"/>
      <w:divBdr>
        <w:top w:val="none" w:sz="0" w:space="0" w:color="auto"/>
        <w:left w:val="none" w:sz="0" w:space="0" w:color="auto"/>
        <w:bottom w:val="none" w:sz="0" w:space="0" w:color="auto"/>
        <w:right w:val="none" w:sz="0" w:space="0" w:color="auto"/>
      </w:divBdr>
    </w:div>
    <w:div w:id="680084204">
      <w:bodyDiv w:val="1"/>
      <w:marLeft w:val="0"/>
      <w:marRight w:val="0"/>
      <w:marTop w:val="0"/>
      <w:marBottom w:val="0"/>
      <w:divBdr>
        <w:top w:val="none" w:sz="0" w:space="0" w:color="auto"/>
        <w:left w:val="none" w:sz="0" w:space="0" w:color="auto"/>
        <w:bottom w:val="none" w:sz="0" w:space="0" w:color="auto"/>
        <w:right w:val="none" w:sz="0" w:space="0" w:color="auto"/>
      </w:divBdr>
    </w:div>
    <w:div w:id="694425332">
      <w:bodyDiv w:val="1"/>
      <w:marLeft w:val="0"/>
      <w:marRight w:val="0"/>
      <w:marTop w:val="0"/>
      <w:marBottom w:val="0"/>
      <w:divBdr>
        <w:top w:val="none" w:sz="0" w:space="0" w:color="auto"/>
        <w:left w:val="none" w:sz="0" w:space="0" w:color="auto"/>
        <w:bottom w:val="none" w:sz="0" w:space="0" w:color="auto"/>
        <w:right w:val="none" w:sz="0" w:space="0" w:color="auto"/>
      </w:divBdr>
    </w:div>
    <w:div w:id="710888605">
      <w:bodyDiv w:val="1"/>
      <w:marLeft w:val="0"/>
      <w:marRight w:val="0"/>
      <w:marTop w:val="0"/>
      <w:marBottom w:val="0"/>
      <w:divBdr>
        <w:top w:val="none" w:sz="0" w:space="0" w:color="auto"/>
        <w:left w:val="none" w:sz="0" w:space="0" w:color="auto"/>
        <w:bottom w:val="none" w:sz="0" w:space="0" w:color="auto"/>
        <w:right w:val="none" w:sz="0" w:space="0" w:color="auto"/>
      </w:divBdr>
    </w:div>
    <w:div w:id="731005432">
      <w:bodyDiv w:val="1"/>
      <w:marLeft w:val="0"/>
      <w:marRight w:val="0"/>
      <w:marTop w:val="0"/>
      <w:marBottom w:val="0"/>
      <w:divBdr>
        <w:top w:val="none" w:sz="0" w:space="0" w:color="auto"/>
        <w:left w:val="none" w:sz="0" w:space="0" w:color="auto"/>
        <w:bottom w:val="none" w:sz="0" w:space="0" w:color="auto"/>
        <w:right w:val="none" w:sz="0" w:space="0" w:color="auto"/>
      </w:divBdr>
    </w:div>
    <w:div w:id="742335086">
      <w:bodyDiv w:val="1"/>
      <w:marLeft w:val="0"/>
      <w:marRight w:val="0"/>
      <w:marTop w:val="0"/>
      <w:marBottom w:val="0"/>
      <w:divBdr>
        <w:top w:val="none" w:sz="0" w:space="0" w:color="auto"/>
        <w:left w:val="none" w:sz="0" w:space="0" w:color="auto"/>
        <w:bottom w:val="none" w:sz="0" w:space="0" w:color="auto"/>
        <w:right w:val="none" w:sz="0" w:space="0" w:color="auto"/>
      </w:divBdr>
    </w:div>
    <w:div w:id="769469661">
      <w:bodyDiv w:val="1"/>
      <w:marLeft w:val="0"/>
      <w:marRight w:val="0"/>
      <w:marTop w:val="0"/>
      <w:marBottom w:val="0"/>
      <w:divBdr>
        <w:top w:val="none" w:sz="0" w:space="0" w:color="auto"/>
        <w:left w:val="none" w:sz="0" w:space="0" w:color="auto"/>
        <w:bottom w:val="none" w:sz="0" w:space="0" w:color="auto"/>
        <w:right w:val="none" w:sz="0" w:space="0" w:color="auto"/>
      </w:divBdr>
    </w:div>
    <w:div w:id="814876032">
      <w:bodyDiv w:val="1"/>
      <w:marLeft w:val="0"/>
      <w:marRight w:val="0"/>
      <w:marTop w:val="0"/>
      <w:marBottom w:val="0"/>
      <w:divBdr>
        <w:top w:val="none" w:sz="0" w:space="0" w:color="auto"/>
        <w:left w:val="none" w:sz="0" w:space="0" w:color="auto"/>
        <w:bottom w:val="none" w:sz="0" w:space="0" w:color="auto"/>
        <w:right w:val="none" w:sz="0" w:space="0" w:color="auto"/>
      </w:divBdr>
    </w:div>
    <w:div w:id="814879344">
      <w:bodyDiv w:val="1"/>
      <w:marLeft w:val="0"/>
      <w:marRight w:val="0"/>
      <w:marTop w:val="0"/>
      <w:marBottom w:val="0"/>
      <w:divBdr>
        <w:top w:val="none" w:sz="0" w:space="0" w:color="auto"/>
        <w:left w:val="none" w:sz="0" w:space="0" w:color="auto"/>
        <w:bottom w:val="none" w:sz="0" w:space="0" w:color="auto"/>
        <w:right w:val="none" w:sz="0" w:space="0" w:color="auto"/>
      </w:divBdr>
    </w:div>
    <w:div w:id="833685827">
      <w:bodyDiv w:val="1"/>
      <w:marLeft w:val="0"/>
      <w:marRight w:val="0"/>
      <w:marTop w:val="0"/>
      <w:marBottom w:val="0"/>
      <w:divBdr>
        <w:top w:val="none" w:sz="0" w:space="0" w:color="auto"/>
        <w:left w:val="none" w:sz="0" w:space="0" w:color="auto"/>
        <w:bottom w:val="none" w:sz="0" w:space="0" w:color="auto"/>
        <w:right w:val="none" w:sz="0" w:space="0" w:color="auto"/>
      </w:divBdr>
    </w:div>
    <w:div w:id="877082682">
      <w:bodyDiv w:val="1"/>
      <w:marLeft w:val="0"/>
      <w:marRight w:val="0"/>
      <w:marTop w:val="0"/>
      <w:marBottom w:val="0"/>
      <w:divBdr>
        <w:top w:val="none" w:sz="0" w:space="0" w:color="auto"/>
        <w:left w:val="none" w:sz="0" w:space="0" w:color="auto"/>
        <w:bottom w:val="none" w:sz="0" w:space="0" w:color="auto"/>
        <w:right w:val="none" w:sz="0" w:space="0" w:color="auto"/>
      </w:divBdr>
    </w:div>
    <w:div w:id="890385585">
      <w:bodyDiv w:val="1"/>
      <w:marLeft w:val="0"/>
      <w:marRight w:val="0"/>
      <w:marTop w:val="0"/>
      <w:marBottom w:val="0"/>
      <w:divBdr>
        <w:top w:val="none" w:sz="0" w:space="0" w:color="auto"/>
        <w:left w:val="none" w:sz="0" w:space="0" w:color="auto"/>
        <w:bottom w:val="none" w:sz="0" w:space="0" w:color="auto"/>
        <w:right w:val="none" w:sz="0" w:space="0" w:color="auto"/>
      </w:divBdr>
    </w:div>
    <w:div w:id="896553932">
      <w:bodyDiv w:val="1"/>
      <w:marLeft w:val="0"/>
      <w:marRight w:val="0"/>
      <w:marTop w:val="0"/>
      <w:marBottom w:val="0"/>
      <w:divBdr>
        <w:top w:val="none" w:sz="0" w:space="0" w:color="auto"/>
        <w:left w:val="none" w:sz="0" w:space="0" w:color="auto"/>
        <w:bottom w:val="none" w:sz="0" w:space="0" w:color="auto"/>
        <w:right w:val="none" w:sz="0" w:space="0" w:color="auto"/>
      </w:divBdr>
    </w:div>
    <w:div w:id="900169512">
      <w:bodyDiv w:val="1"/>
      <w:marLeft w:val="0"/>
      <w:marRight w:val="0"/>
      <w:marTop w:val="0"/>
      <w:marBottom w:val="0"/>
      <w:divBdr>
        <w:top w:val="none" w:sz="0" w:space="0" w:color="auto"/>
        <w:left w:val="none" w:sz="0" w:space="0" w:color="auto"/>
        <w:bottom w:val="none" w:sz="0" w:space="0" w:color="auto"/>
        <w:right w:val="none" w:sz="0" w:space="0" w:color="auto"/>
      </w:divBdr>
    </w:div>
    <w:div w:id="900482975">
      <w:bodyDiv w:val="1"/>
      <w:marLeft w:val="0"/>
      <w:marRight w:val="0"/>
      <w:marTop w:val="0"/>
      <w:marBottom w:val="0"/>
      <w:divBdr>
        <w:top w:val="none" w:sz="0" w:space="0" w:color="auto"/>
        <w:left w:val="none" w:sz="0" w:space="0" w:color="auto"/>
        <w:bottom w:val="none" w:sz="0" w:space="0" w:color="auto"/>
        <w:right w:val="none" w:sz="0" w:space="0" w:color="auto"/>
      </w:divBdr>
    </w:div>
    <w:div w:id="914634300">
      <w:bodyDiv w:val="1"/>
      <w:marLeft w:val="0"/>
      <w:marRight w:val="0"/>
      <w:marTop w:val="0"/>
      <w:marBottom w:val="0"/>
      <w:divBdr>
        <w:top w:val="none" w:sz="0" w:space="0" w:color="auto"/>
        <w:left w:val="none" w:sz="0" w:space="0" w:color="auto"/>
        <w:bottom w:val="none" w:sz="0" w:space="0" w:color="auto"/>
        <w:right w:val="none" w:sz="0" w:space="0" w:color="auto"/>
      </w:divBdr>
    </w:div>
    <w:div w:id="935484085">
      <w:bodyDiv w:val="1"/>
      <w:marLeft w:val="0"/>
      <w:marRight w:val="0"/>
      <w:marTop w:val="0"/>
      <w:marBottom w:val="0"/>
      <w:divBdr>
        <w:top w:val="none" w:sz="0" w:space="0" w:color="auto"/>
        <w:left w:val="none" w:sz="0" w:space="0" w:color="auto"/>
        <w:bottom w:val="none" w:sz="0" w:space="0" w:color="auto"/>
        <w:right w:val="none" w:sz="0" w:space="0" w:color="auto"/>
      </w:divBdr>
    </w:div>
    <w:div w:id="978343180">
      <w:bodyDiv w:val="1"/>
      <w:marLeft w:val="0"/>
      <w:marRight w:val="0"/>
      <w:marTop w:val="0"/>
      <w:marBottom w:val="0"/>
      <w:divBdr>
        <w:top w:val="none" w:sz="0" w:space="0" w:color="auto"/>
        <w:left w:val="none" w:sz="0" w:space="0" w:color="auto"/>
        <w:bottom w:val="none" w:sz="0" w:space="0" w:color="auto"/>
        <w:right w:val="none" w:sz="0" w:space="0" w:color="auto"/>
      </w:divBdr>
    </w:div>
    <w:div w:id="1001395269">
      <w:bodyDiv w:val="1"/>
      <w:marLeft w:val="0"/>
      <w:marRight w:val="0"/>
      <w:marTop w:val="0"/>
      <w:marBottom w:val="0"/>
      <w:divBdr>
        <w:top w:val="none" w:sz="0" w:space="0" w:color="auto"/>
        <w:left w:val="none" w:sz="0" w:space="0" w:color="auto"/>
        <w:bottom w:val="none" w:sz="0" w:space="0" w:color="auto"/>
        <w:right w:val="none" w:sz="0" w:space="0" w:color="auto"/>
      </w:divBdr>
    </w:div>
    <w:div w:id="1021783002">
      <w:bodyDiv w:val="1"/>
      <w:marLeft w:val="0"/>
      <w:marRight w:val="0"/>
      <w:marTop w:val="0"/>
      <w:marBottom w:val="0"/>
      <w:divBdr>
        <w:top w:val="none" w:sz="0" w:space="0" w:color="auto"/>
        <w:left w:val="none" w:sz="0" w:space="0" w:color="auto"/>
        <w:bottom w:val="none" w:sz="0" w:space="0" w:color="auto"/>
        <w:right w:val="none" w:sz="0" w:space="0" w:color="auto"/>
      </w:divBdr>
    </w:div>
    <w:div w:id="1036348267">
      <w:bodyDiv w:val="1"/>
      <w:marLeft w:val="0"/>
      <w:marRight w:val="0"/>
      <w:marTop w:val="0"/>
      <w:marBottom w:val="0"/>
      <w:divBdr>
        <w:top w:val="none" w:sz="0" w:space="0" w:color="auto"/>
        <w:left w:val="none" w:sz="0" w:space="0" w:color="auto"/>
        <w:bottom w:val="none" w:sz="0" w:space="0" w:color="auto"/>
        <w:right w:val="none" w:sz="0" w:space="0" w:color="auto"/>
      </w:divBdr>
    </w:div>
    <w:div w:id="1041707654">
      <w:bodyDiv w:val="1"/>
      <w:marLeft w:val="0"/>
      <w:marRight w:val="0"/>
      <w:marTop w:val="0"/>
      <w:marBottom w:val="0"/>
      <w:divBdr>
        <w:top w:val="none" w:sz="0" w:space="0" w:color="auto"/>
        <w:left w:val="none" w:sz="0" w:space="0" w:color="auto"/>
        <w:bottom w:val="none" w:sz="0" w:space="0" w:color="auto"/>
        <w:right w:val="none" w:sz="0" w:space="0" w:color="auto"/>
      </w:divBdr>
    </w:div>
    <w:div w:id="1060785968">
      <w:bodyDiv w:val="1"/>
      <w:marLeft w:val="0"/>
      <w:marRight w:val="0"/>
      <w:marTop w:val="0"/>
      <w:marBottom w:val="0"/>
      <w:divBdr>
        <w:top w:val="none" w:sz="0" w:space="0" w:color="auto"/>
        <w:left w:val="none" w:sz="0" w:space="0" w:color="auto"/>
        <w:bottom w:val="none" w:sz="0" w:space="0" w:color="auto"/>
        <w:right w:val="none" w:sz="0" w:space="0" w:color="auto"/>
      </w:divBdr>
    </w:div>
    <w:div w:id="1088036502">
      <w:bodyDiv w:val="1"/>
      <w:marLeft w:val="0"/>
      <w:marRight w:val="0"/>
      <w:marTop w:val="0"/>
      <w:marBottom w:val="0"/>
      <w:divBdr>
        <w:top w:val="none" w:sz="0" w:space="0" w:color="auto"/>
        <w:left w:val="none" w:sz="0" w:space="0" w:color="auto"/>
        <w:bottom w:val="none" w:sz="0" w:space="0" w:color="auto"/>
        <w:right w:val="none" w:sz="0" w:space="0" w:color="auto"/>
      </w:divBdr>
    </w:div>
    <w:div w:id="1090808797">
      <w:bodyDiv w:val="1"/>
      <w:marLeft w:val="0"/>
      <w:marRight w:val="0"/>
      <w:marTop w:val="0"/>
      <w:marBottom w:val="0"/>
      <w:divBdr>
        <w:top w:val="none" w:sz="0" w:space="0" w:color="auto"/>
        <w:left w:val="none" w:sz="0" w:space="0" w:color="auto"/>
        <w:bottom w:val="none" w:sz="0" w:space="0" w:color="auto"/>
        <w:right w:val="none" w:sz="0" w:space="0" w:color="auto"/>
      </w:divBdr>
    </w:div>
    <w:div w:id="1099905602">
      <w:bodyDiv w:val="1"/>
      <w:marLeft w:val="0"/>
      <w:marRight w:val="0"/>
      <w:marTop w:val="0"/>
      <w:marBottom w:val="0"/>
      <w:divBdr>
        <w:top w:val="none" w:sz="0" w:space="0" w:color="auto"/>
        <w:left w:val="none" w:sz="0" w:space="0" w:color="auto"/>
        <w:bottom w:val="none" w:sz="0" w:space="0" w:color="auto"/>
        <w:right w:val="none" w:sz="0" w:space="0" w:color="auto"/>
      </w:divBdr>
    </w:div>
    <w:div w:id="1112170976">
      <w:bodyDiv w:val="1"/>
      <w:marLeft w:val="0"/>
      <w:marRight w:val="0"/>
      <w:marTop w:val="0"/>
      <w:marBottom w:val="0"/>
      <w:divBdr>
        <w:top w:val="none" w:sz="0" w:space="0" w:color="auto"/>
        <w:left w:val="none" w:sz="0" w:space="0" w:color="auto"/>
        <w:bottom w:val="none" w:sz="0" w:space="0" w:color="auto"/>
        <w:right w:val="none" w:sz="0" w:space="0" w:color="auto"/>
      </w:divBdr>
    </w:div>
    <w:div w:id="1144735642">
      <w:bodyDiv w:val="1"/>
      <w:marLeft w:val="0"/>
      <w:marRight w:val="0"/>
      <w:marTop w:val="0"/>
      <w:marBottom w:val="0"/>
      <w:divBdr>
        <w:top w:val="none" w:sz="0" w:space="0" w:color="auto"/>
        <w:left w:val="none" w:sz="0" w:space="0" w:color="auto"/>
        <w:bottom w:val="none" w:sz="0" w:space="0" w:color="auto"/>
        <w:right w:val="none" w:sz="0" w:space="0" w:color="auto"/>
      </w:divBdr>
    </w:div>
    <w:div w:id="1145047870">
      <w:bodyDiv w:val="1"/>
      <w:marLeft w:val="0"/>
      <w:marRight w:val="0"/>
      <w:marTop w:val="0"/>
      <w:marBottom w:val="0"/>
      <w:divBdr>
        <w:top w:val="none" w:sz="0" w:space="0" w:color="auto"/>
        <w:left w:val="none" w:sz="0" w:space="0" w:color="auto"/>
        <w:bottom w:val="none" w:sz="0" w:space="0" w:color="auto"/>
        <w:right w:val="none" w:sz="0" w:space="0" w:color="auto"/>
      </w:divBdr>
    </w:div>
    <w:div w:id="1153326894">
      <w:bodyDiv w:val="1"/>
      <w:marLeft w:val="0"/>
      <w:marRight w:val="0"/>
      <w:marTop w:val="0"/>
      <w:marBottom w:val="0"/>
      <w:divBdr>
        <w:top w:val="none" w:sz="0" w:space="0" w:color="auto"/>
        <w:left w:val="none" w:sz="0" w:space="0" w:color="auto"/>
        <w:bottom w:val="none" w:sz="0" w:space="0" w:color="auto"/>
        <w:right w:val="none" w:sz="0" w:space="0" w:color="auto"/>
      </w:divBdr>
    </w:div>
    <w:div w:id="1170872910">
      <w:bodyDiv w:val="1"/>
      <w:marLeft w:val="0"/>
      <w:marRight w:val="0"/>
      <w:marTop w:val="0"/>
      <w:marBottom w:val="0"/>
      <w:divBdr>
        <w:top w:val="none" w:sz="0" w:space="0" w:color="auto"/>
        <w:left w:val="none" w:sz="0" w:space="0" w:color="auto"/>
        <w:bottom w:val="none" w:sz="0" w:space="0" w:color="auto"/>
        <w:right w:val="none" w:sz="0" w:space="0" w:color="auto"/>
      </w:divBdr>
    </w:div>
    <w:div w:id="1177037397">
      <w:bodyDiv w:val="1"/>
      <w:marLeft w:val="0"/>
      <w:marRight w:val="0"/>
      <w:marTop w:val="0"/>
      <w:marBottom w:val="0"/>
      <w:divBdr>
        <w:top w:val="none" w:sz="0" w:space="0" w:color="auto"/>
        <w:left w:val="none" w:sz="0" w:space="0" w:color="auto"/>
        <w:bottom w:val="none" w:sz="0" w:space="0" w:color="auto"/>
        <w:right w:val="none" w:sz="0" w:space="0" w:color="auto"/>
      </w:divBdr>
    </w:div>
    <w:div w:id="1183085884">
      <w:bodyDiv w:val="1"/>
      <w:marLeft w:val="0"/>
      <w:marRight w:val="0"/>
      <w:marTop w:val="0"/>
      <w:marBottom w:val="0"/>
      <w:divBdr>
        <w:top w:val="none" w:sz="0" w:space="0" w:color="auto"/>
        <w:left w:val="none" w:sz="0" w:space="0" w:color="auto"/>
        <w:bottom w:val="none" w:sz="0" w:space="0" w:color="auto"/>
        <w:right w:val="none" w:sz="0" w:space="0" w:color="auto"/>
      </w:divBdr>
    </w:div>
    <w:div w:id="1230462318">
      <w:bodyDiv w:val="1"/>
      <w:marLeft w:val="0"/>
      <w:marRight w:val="0"/>
      <w:marTop w:val="0"/>
      <w:marBottom w:val="0"/>
      <w:divBdr>
        <w:top w:val="none" w:sz="0" w:space="0" w:color="auto"/>
        <w:left w:val="none" w:sz="0" w:space="0" w:color="auto"/>
        <w:bottom w:val="none" w:sz="0" w:space="0" w:color="auto"/>
        <w:right w:val="none" w:sz="0" w:space="0" w:color="auto"/>
      </w:divBdr>
    </w:div>
    <w:div w:id="1235244377">
      <w:bodyDiv w:val="1"/>
      <w:marLeft w:val="0"/>
      <w:marRight w:val="0"/>
      <w:marTop w:val="0"/>
      <w:marBottom w:val="0"/>
      <w:divBdr>
        <w:top w:val="none" w:sz="0" w:space="0" w:color="auto"/>
        <w:left w:val="none" w:sz="0" w:space="0" w:color="auto"/>
        <w:bottom w:val="none" w:sz="0" w:space="0" w:color="auto"/>
        <w:right w:val="none" w:sz="0" w:space="0" w:color="auto"/>
      </w:divBdr>
    </w:div>
    <w:div w:id="1298608061">
      <w:bodyDiv w:val="1"/>
      <w:marLeft w:val="0"/>
      <w:marRight w:val="0"/>
      <w:marTop w:val="0"/>
      <w:marBottom w:val="0"/>
      <w:divBdr>
        <w:top w:val="none" w:sz="0" w:space="0" w:color="auto"/>
        <w:left w:val="none" w:sz="0" w:space="0" w:color="auto"/>
        <w:bottom w:val="none" w:sz="0" w:space="0" w:color="auto"/>
        <w:right w:val="none" w:sz="0" w:space="0" w:color="auto"/>
      </w:divBdr>
    </w:div>
    <w:div w:id="1306737736">
      <w:bodyDiv w:val="1"/>
      <w:marLeft w:val="0"/>
      <w:marRight w:val="0"/>
      <w:marTop w:val="0"/>
      <w:marBottom w:val="0"/>
      <w:divBdr>
        <w:top w:val="none" w:sz="0" w:space="0" w:color="auto"/>
        <w:left w:val="none" w:sz="0" w:space="0" w:color="auto"/>
        <w:bottom w:val="none" w:sz="0" w:space="0" w:color="auto"/>
        <w:right w:val="none" w:sz="0" w:space="0" w:color="auto"/>
      </w:divBdr>
    </w:div>
    <w:div w:id="1340546975">
      <w:bodyDiv w:val="1"/>
      <w:marLeft w:val="0"/>
      <w:marRight w:val="0"/>
      <w:marTop w:val="0"/>
      <w:marBottom w:val="0"/>
      <w:divBdr>
        <w:top w:val="none" w:sz="0" w:space="0" w:color="auto"/>
        <w:left w:val="none" w:sz="0" w:space="0" w:color="auto"/>
        <w:bottom w:val="none" w:sz="0" w:space="0" w:color="auto"/>
        <w:right w:val="none" w:sz="0" w:space="0" w:color="auto"/>
      </w:divBdr>
    </w:div>
    <w:div w:id="1354382058">
      <w:bodyDiv w:val="1"/>
      <w:marLeft w:val="0"/>
      <w:marRight w:val="0"/>
      <w:marTop w:val="0"/>
      <w:marBottom w:val="0"/>
      <w:divBdr>
        <w:top w:val="none" w:sz="0" w:space="0" w:color="auto"/>
        <w:left w:val="none" w:sz="0" w:space="0" w:color="auto"/>
        <w:bottom w:val="none" w:sz="0" w:space="0" w:color="auto"/>
        <w:right w:val="none" w:sz="0" w:space="0" w:color="auto"/>
      </w:divBdr>
    </w:div>
    <w:div w:id="1354989367">
      <w:bodyDiv w:val="1"/>
      <w:marLeft w:val="0"/>
      <w:marRight w:val="0"/>
      <w:marTop w:val="0"/>
      <w:marBottom w:val="0"/>
      <w:divBdr>
        <w:top w:val="none" w:sz="0" w:space="0" w:color="auto"/>
        <w:left w:val="none" w:sz="0" w:space="0" w:color="auto"/>
        <w:bottom w:val="none" w:sz="0" w:space="0" w:color="auto"/>
        <w:right w:val="none" w:sz="0" w:space="0" w:color="auto"/>
      </w:divBdr>
    </w:div>
    <w:div w:id="1359424962">
      <w:bodyDiv w:val="1"/>
      <w:marLeft w:val="0"/>
      <w:marRight w:val="0"/>
      <w:marTop w:val="0"/>
      <w:marBottom w:val="0"/>
      <w:divBdr>
        <w:top w:val="none" w:sz="0" w:space="0" w:color="auto"/>
        <w:left w:val="none" w:sz="0" w:space="0" w:color="auto"/>
        <w:bottom w:val="none" w:sz="0" w:space="0" w:color="auto"/>
        <w:right w:val="none" w:sz="0" w:space="0" w:color="auto"/>
      </w:divBdr>
    </w:div>
    <w:div w:id="1376008347">
      <w:bodyDiv w:val="1"/>
      <w:marLeft w:val="0"/>
      <w:marRight w:val="0"/>
      <w:marTop w:val="0"/>
      <w:marBottom w:val="0"/>
      <w:divBdr>
        <w:top w:val="none" w:sz="0" w:space="0" w:color="auto"/>
        <w:left w:val="none" w:sz="0" w:space="0" w:color="auto"/>
        <w:bottom w:val="none" w:sz="0" w:space="0" w:color="auto"/>
        <w:right w:val="none" w:sz="0" w:space="0" w:color="auto"/>
      </w:divBdr>
    </w:div>
    <w:div w:id="1407876969">
      <w:bodyDiv w:val="1"/>
      <w:marLeft w:val="0"/>
      <w:marRight w:val="0"/>
      <w:marTop w:val="0"/>
      <w:marBottom w:val="0"/>
      <w:divBdr>
        <w:top w:val="none" w:sz="0" w:space="0" w:color="auto"/>
        <w:left w:val="none" w:sz="0" w:space="0" w:color="auto"/>
        <w:bottom w:val="none" w:sz="0" w:space="0" w:color="auto"/>
        <w:right w:val="none" w:sz="0" w:space="0" w:color="auto"/>
      </w:divBdr>
    </w:div>
    <w:div w:id="1428887870">
      <w:bodyDiv w:val="1"/>
      <w:marLeft w:val="0"/>
      <w:marRight w:val="0"/>
      <w:marTop w:val="0"/>
      <w:marBottom w:val="0"/>
      <w:divBdr>
        <w:top w:val="none" w:sz="0" w:space="0" w:color="auto"/>
        <w:left w:val="none" w:sz="0" w:space="0" w:color="auto"/>
        <w:bottom w:val="none" w:sz="0" w:space="0" w:color="auto"/>
        <w:right w:val="none" w:sz="0" w:space="0" w:color="auto"/>
      </w:divBdr>
    </w:div>
    <w:div w:id="1471433806">
      <w:bodyDiv w:val="1"/>
      <w:marLeft w:val="0"/>
      <w:marRight w:val="0"/>
      <w:marTop w:val="0"/>
      <w:marBottom w:val="0"/>
      <w:divBdr>
        <w:top w:val="none" w:sz="0" w:space="0" w:color="auto"/>
        <w:left w:val="none" w:sz="0" w:space="0" w:color="auto"/>
        <w:bottom w:val="none" w:sz="0" w:space="0" w:color="auto"/>
        <w:right w:val="none" w:sz="0" w:space="0" w:color="auto"/>
      </w:divBdr>
    </w:div>
    <w:div w:id="1474522340">
      <w:bodyDiv w:val="1"/>
      <w:marLeft w:val="0"/>
      <w:marRight w:val="0"/>
      <w:marTop w:val="0"/>
      <w:marBottom w:val="0"/>
      <w:divBdr>
        <w:top w:val="none" w:sz="0" w:space="0" w:color="auto"/>
        <w:left w:val="none" w:sz="0" w:space="0" w:color="auto"/>
        <w:bottom w:val="none" w:sz="0" w:space="0" w:color="auto"/>
        <w:right w:val="none" w:sz="0" w:space="0" w:color="auto"/>
      </w:divBdr>
    </w:div>
    <w:div w:id="1478373576">
      <w:bodyDiv w:val="1"/>
      <w:marLeft w:val="0"/>
      <w:marRight w:val="0"/>
      <w:marTop w:val="0"/>
      <w:marBottom w:val="0"/>
      <w:divBdr>
        <w:top w:val="none" w:sz="0" w:space="0" w:color="auto"/>
        <w:left w:val="none" w:sz="0" w:space="0" w:color="auto"/>
        <w:bottom w:val="none" w:sz="0" w:space="0" w:color="auto"/>
        <w:right w:val="none" w:sz="0" w:space="0" w:color="auto"/>
      </w:divBdr>
    </w:div>
    <w:div w:id="1549336698">
      <w:bodyDiv w:val="1"/>
      <w:marLeft w:val="0"/>
      <w:marRight w:val="0"/>
      <w:marTop w:val="0"/>
      <w:marBottom w:val="0"/>
      <w:divBdr>
        <w:top w:val="none" w:sz="0" w:space="0" w:color="auto"/>
        <w:left w:val="none" w:sz="0" w:space="0" w:color="auto"/>
        <w:bottom w:val="none" w:sz="0" w:space="0" w:color="auto"/>
        <w:right w:val="none" w:sz="0" w:space="0" w:color="auto"/>
      </w:divBdr>
    </w:div>
    <w:div w:id="1590651373">
      <w:bodyDiv w:val="1"/>
      <w:marLeft w:val="0"/>
      <w:marRight w:val="0"/>
      <w:marTop w:val="0"/>
      <w:marBottom w:val="0"/>
      <w:divBdr>
        <w:top w:val="none" w:sz="0" w:space="0" w:color="auto"/>
        <w:left w:val="none" w:sz="0" w:space="0" w:color="auto"/>
        <w:bottom w:val="none" w:sz="0" w:space="0" w:color="auto"/>
        <w:right w:val="none" w:sz="0" w:space="0" w:color="auto"/>
      </w:divBdr>
    </w:div>
    <w:div w:id="1601641050">
      <w:bodyDiv w:val="1"/>
      <w:marLeft w:val="0"/>
      <w:marRight w:val="0"/>
      <w:marTop w:val="0"/>
      <w:marBottom w:val="0"/>
      <w:divBdr>
        <w:top w:val="none" w:sz="0" w:space="0" w:color="auto"/>
        <w:left w:val="none" w:sz="0" w:space="0" w:color="auto"/>
        <w:bottom w:val="none" w:sz="0" w:space="0" w:color="auto"/>
        <w:right w:val="none" w:sz="0" w:space="0" w:color="auto"/>
      </w:divBdr>
    </w:div>
    <w:div w:id="1611743068">
      <w:bodyDiv w:val="1"/>
      <w:marLeft w:val="0"/>
      <w:marRight w:val="0"/>
      <w:marTop w:val="0"/>
      <w:marBottom w:val="0"/>
      <w:divBdr>
        <w:top w:val="none" w:sz="0" w:space="0" w:color="auto"/>
        <w:left w:val="none" w:sz="0" w:space="0" w:color="auto"/>
        <w:bottom w:val="none" w:sz="0" w:space="0" w:color="auto"/>
        <w:right w:val="none" w:sz="0" w:space="0" w:color="auto"/>
      </w:divBdr>
    </w:div>
    <w:div w:id="1612395017">
      <w:bodyDiv w:val="1"/>
      <w:marLeft w:val="0"/>
      <w:marRight w:val="0"/>
      <w:marTop w:val="0"/>
      <w:marBottom w:val="0"/>
      <w:divBdr>
        <w:top w:val="none" w:sz="0" w:space="0" w:color="auto"/>
        <w:left w:val="none" w:sz="0" w:space="0" w:color="auto"/>
        <w:bottom w:val="none" w:sz="0" w:space="0" w:color="auto"/>
        <w:right w:val="none" w:sz="0" w:space="0" w:color="auto"/>
      </w:divBdr>
    </w:div>
    <w:div w:id="1619525920">
      <w:bodyDiv w:val="1"/>
      <w:marLeft w:val="0"/>
      <w:marRight w:val="0"/>
      <w:marTop w:val="0"/>
      <w:marBottom w:val="0"/>
      <w:divBdr>
        <w:top w:val="none" w:sz="0" w:space="0" w:color="auto"/>
        <w:left w:val="none" w:sz="0" w:space="0" w:color="auto"/>
        <w:bottom w:val="none" w:sz="0" w:space="0" w:color="auto"/>
        <w:right w:val="none" w:sz="0" w:space="0" w:color="auto"/>
      </w:divBdr>
    </w:div>
    <w:div w:id="1725181646">
      <w:bodyDiv w:val="1"/>
      <w:marLeft w:val="0"/>
      <w:marRight w:val="0"/>
      <w:marTop w:val="0"/>
      <w:marBottom w:val="0"/>
      <w:divBdr>
        <w:top w:val="none" w:sz="0" w:space="0" w:color="auto"/>
        <w:left w:val="none" w:sz="0" w:space="0" w:color="auto"/>
        <w:bottom w:val="none" w:sz="0" w:space="0" w:color="auto"/>
        <w:right w:val="none" w:sz="0" w:space="0" w:color="auto"/>
      </w:divBdr>
    </w:div>
    <w:div w:id="1727143168">
      <w:bodyDiv w:val="1"/>
      <w:marLeft w:val="0"/>
      <w:marRight w:val="0"/>
      <w:marTop w:val="0"/>
      <w:marBottom w:val="0"/>
      <w:divBdr>
        <w:top w:val="none" w:sz="0" w:space="0" w:color="auto"/>
        <w:left w:val="none" w:sz="0" w:space="0" w:color="auto"/>
        <w:bottom w:val="none" w:sz="0" w:space="0" w:color="auto"/>
        <w:right w:val="none" w:sz="0" w:space="0" w:color="auto"/>
      </w:divBdr>
    </w:div>
    <w:div w:id="1735423908">
      <w:bodyDiv w:val="1"/>
      <w:marLeft w:val="0"/>
      <w:marRight w:val="0"/>
      <w:marTop w:val="0"/>
      <w:marBottom w:val="0"/>
      <w:divBdr>
        <w:top w:val="none" w:sz="0" w:space="0" w:color="auto"/>
        <w:left w:val="none" w:sz="0" w:space="0" w:color="auto"/>
        <w:bottom w:val="none" w:sz="0" w:space="0" w:color="auto"/>
        <w:right w:val="none" w:sz="0" w:space="0" w:color="auto"/>
      </w:divBdr>
    </w:div>
    <w:div w:id="1737195396">
      <w:bodyDiv w:val="1"/>
      <w:marLeft w:val="0"/>
      <w:marRight w:val="0"/>
      <w:marTop w:val="0"/>
      <w:marBottom w:val="0"/>
      <w:divBdr>
        <w:top w:val="none" w:sz="0" w:space="0" w:color="auto"/>
        <w:left w:val="none" w:sz="0" w:space="0" w:color="auto"/>
        <w:bottom w:val="none" w:sz="0" w:space="0" w:color="auto"/>
        <w:right w:val="none" w:sz="0" w:space="0" w:color="auto"/>
      </w:divBdr>
    </w:div>
    <w:div w:id="1745298077">
      <w:bodyDiv w:val="1"/>
      <w:marLeft w:val="0"/>
      <w:marRight w:val="0"/>
      <w:marTop w:val="0"/>
      <w:marBottom w:val="0"/>
      <w:divBdr>
        <w:top w:val="none" w:sz="0" w:space="0" w:color="auto"/>
        <w:left w:val="none" w:sz="0" w:space="0" w:color="auto"/>
        <w:bottom w:val="none" w:sz="0" w:space="0" w:color="auto"/>
        <w:right w:val="none" w:sz="0" w:space="0" w:color="auto"/>
      </w:divBdr>
    </w:div>
    <w:div w:id="1769740582">
      <w:bodyDiv w:val="1"/>
      <w:marLeft w:val="0"/>
      <w:marRight w:val="0"/>
      <w:marTop w:val="0"/>
      <w:marBottom w:val="0"/>
      <w:divBdr>
        <w:top w:val="none" w:sz="0" w:space="0" w:color="auto"/>
        <w:left w:val="none" w:sz="0" w:space="0" w:color="auto"/>
        <w:bottom w:val="none" w:sz="0" w:space="0" w:color="auto"/>
        <w:right w:val="none" w:sz="0" w:space="0" w:color="auto"/>
      </w:divBdr>
    </w:div>
    <w:div w:id="1778057938">
      <w:bodyDiv w:val="1"/>
      <w:marLeft w:val="0"/>
      <w:marRight w:val="0"/>
      <w:marTop w:val="0"/>
      <w:marBottom w:val="0"/>
      <w:divBdr>
        <w:top w:val="none" w:sz="0" w:space="0" w:color="auto"/>
        <w:left w:val="none" w:sz="0" w:space="0" w:color="auto"/>
        <w:bottom w:val="none" w:sz="0" w:space="0" w:color="auto"/>
        <w:right w:val="none" w:sz="0" w:space="0" w:color="auto"/>
      </w:divBdr>
    </w:div>
    <w:div w:id="1798447845">
      <w:bodyDiv w:val="1"/>
      <w:marLeft w:val="0"/>
      <w:marRight w:val="0"/>
      <w:marTop w:val="0"/>
      <w:marBottom w:val="0"/>
      <w:divBdr>
        <w:top w:val="none" w:sz="0" w:space="0" w:color="auto"/>
        <w:left w:val="none" w:sz="0" w:space="0" w:color="auto"/>
        <w:bottom w:val="none" w:sz="0" w:space="0" w:color="auto"/>
        <w:right w:val="none" w:sz="0" w:space="0" w:color="auto"/>
      </w:divBdr>
    </w:div>
    <w:div w:id="1801339816">
      <w:bodyDiv w:val="1"/>
      <w:marLeft w:val="0"/>
      <w:marRight w:val="0"/>
      <w:marTop w:val="0"/>
      <w:marBottom w:val="0"/>
      <w:divBdr>
        <w:top w:val="none" w:sz="0" w:space="0" w:color="auto"/>
        <w:left w:val="none" w:sz="0" w:space="0" w:color="auto"/>
        <w:bottom w:val="none" w:sz="0" w:space="0" w:color="auto"/>
        <w:right w:val="none" w:sz="0" w:space="0" w:color="auto"/>
      </w:divBdr>
    </w:div>
    <w:div w:id="1810711321">
      <w:bodyDiv w:val="1"/>
      <w:marLeft w:val="0"/>
      <w:marRight w:val="0"/>
      <w:marTop w:val="0"/>
      <w:marBottom w:val="0"/>
      <w:divBdr>
        <w:top w:val="none" w:sz="0" w:space="0" w:color="auto"/>
        <w:left w:val="none" w:sz="0" w:space="0" w:color="auto"/>
        <w:bottom w:val="none" w:sz="0" w:space="0" w:color="auto"/>
        <w:right w:val="none" w:sz="0" w:space="0" w:color="auto"/>
      </w:divBdr>
    </w:div>
    <w:div w:id="1813600041">
      <w:bodyDiv w:val="1"/>
      <w:marLeft w:val="0"/>
      <w:marRight w:val="0"/>
      <w:marTop w:val="0"/>
      <w:marBottom w:val="0"/>
      <w:divBdr>
        <w:top w:val="none" w:sz="0" w:space="0" w:color="auto"/>
        <w:left w:val="none" w:sz="0" w:space="0" w:color="auto"/>
        <w:bottom w:val="none" w:sz="0" w:space="0" w:color="auto"/>
        <w:right w:val="none" w:sz="0" w:space="0" w:color="auto"/>
      </w:divBdr>
    </w:div>
    <w:div w:id="1840076487">
      <w:bodyDiv w:val="1"/>
      <w:marLeft w:val="0"/>
      <w:marRight w:val="0"/>
      <w:marTop w:val="0"/>
      <w:marBottom w:val="0"/>
      <w:divBdr>
        <w:top w:val="none" w:sz="0" w:space="0" w:color="auto"/>
        <w:left w:val="none" w:sz="0" w:space="0" w:color="auto"/>
        <w:bottom w:val="none" w:sz="0" w:space="0" w:color="auto"/>
        <w:right w:val="none" w:sz="0" w:space="0" w:color="auto"/>
      </w:divBdr>
    </w:div>
    <w:div w:id="1844660501">
      <w:bodyDiv w:val="1"/>
      <w:marLeft w:val="0"/>
      <w:marRight w:val="0"/>
      <w:marTop w:val="0"/>
      <w:marBottom w:val="0"/>
      <w:divBdr>
        <w:top w:val="none" w:sz="0" w:space="0" w:color="auto"/>
        <w:left w:val="none" w:sz="0" w:space="0" w:color="auto"/>
        <w:bottom w:val="none" w:sz="0" w:space="0" w:color="auto"/>
        <w:right w:val="none" w:sz="0" w:space="0" w:color="auto"/>
      </w:divBdr>
    </w:div>
    <w:div w:id="1872838275">
      <w:bodyDiv w:val="1"/>
      <w:marLeft w:val="0"/>
      <w:marRight w:val="0"/>
      <w:marTop w:val="0"/>
      <w:marBottom w:val="0"/>
      <w:divBdr>
        <w:top w:val="none" w:sz="0" w:space="0" w:color="auto"/>
        <w:left w:val="none" w:sz="0" w:space="0" w:color="auto"/>
        <w:bottom w:val="none" w:sz="0" w:space="0" w:color="auto"/>
        <w:right w:val="none" w:sz="0" w:space="0" w:color="auto"/>
      </w:divBdr>
    </w:div>
    <w:div w:id="1873348275">
      <w:bodyDiv w:val="1"/>
      <w:marLeft w:val="0"/>
      <w:marRight w:val="0"/>
      <w:marTop w:val="0"/>
      <w:marBottom w:val="0"/>
      <w:divBdr>
        <w:top w:val="none" w:sz="0" w:space="0" w:color="auto"/>
        <w:left w:val="none" w:sz="0" w:space="0" w:color="auto"/>
        <w:bottom w:val="none" w:sz="0" w:space="0" w:color="auto"/>
        <w:right w:val="none" w:sz="0" w:space="0" w:color="auto"/>
      </w:divBdr>
    </w:div>
    <w:div w:id="1919748723">
      <w:bodyDiv w:val="1"/>
      <w:marLeft w:val="0"/>
      <w:marRight w:val="0"/>
      <w:marTop w:val="0"/>
      <w:marBottom w:val="0"/>
      <w:divBdr>
        <w:top w:val="none" w:sz="0" w:space="0" w:color="auto"/>
        <w:left w:val="none" w:sz="0" w:space="0" w:color="auto"/>
        <w:bottom w:val="none" w:sz="0" w:space="0" w:color="auto"/>
        <w:right w:val="none" w:sz="0" w:space="0" w:color="auto"/>
      </w:divBdr>
    </w:div>
    <w:div w:id="1940139401">
      <w:bodyDiv w:val="1"/>
      <w:marLeft w:val="0"/>
      <w:marRight w:val="0"/>
      <w:marTop w:val="0"/>
      <w:marBottom w:val="0"/>
      <w:divBdr>
        <w:top w:val="none" w:sz="0" w:space="0" w:color="auto"/>
        <w:left w:val="none" w:sz="0" w:space="0" w:color="auto"/>
        <w:bottom w:val="none" w:sz="0" w:space="0" w:color="auto"/>
        <w:right w:val="none" w:sz="0" w:space="0" w:color="auto"/>
      </w:divBdr>
    </w:div>
    <w:div w:id="1942255265">
      <w:bodyDiv w:val="1"/>
      <w:marLeft w:val="0"/>
      <w:marRight w:val="0"/>
      <w:marTop w:val="0"/>
      <w:marBottom w:val="0"/>
      <w:divBdr>
        <w:top w:val="none" w:sz="0" w:space="0" w:color="auto"/>
        <w:left w:val="none" w:sz="0" w:space="0" w:color="auto"/>
        <w:bottom w:val="none" w:sz="0" w:space="0" w:color="auto"/>
        <w:right w:val="none" w:sz="0" w:space="0" w:color="auto"/>
      </w:divBdr>
    </w:div>
    <w:div w:id="1986474270">
      <w:bodyDiv w:val="1"/>
      <w:marLeft w:val="0"/>
      <w:marRight w:val="0"/>
      <w:marTop w:val="0"/>
      <w:marBottom w:val="0"/>
      <w:divBdr>
        <w:top w:val="none" w:sz="0" w:space="0" w:color="auto"/>
        <w:left w:val="none" w:sz="0" w:space="0" w:color="auto"/>
        <w:bottom w:val="none" w:sz="0" w:space="0" w:color="auto"/>
        <w:right w:val="none" w:sz="0" w:space="0" w:color="auto"/>
      </w:divBdr>
    </w:div>
    <w:div w:id="2010861941">
      <w:bodyDiv w:val="1"/>
      <w:marLeft w:val="0"/>
      <w:marRight w:val="0"/>
      <w:marTop w:val="0"/>
      <w:marBottom w:val="0"/>
      <w:divBdr>
        <w:top w:val="none" w:sz="0" w:space="0" w:color="auto"/>
        <w:left w:val="none" w:sz="0" w:space="0" w:color="auto"/>
        <w:bottom w:val="none" w:sz="0" w:space="0" w:color="auto"/>
        <w:right w:val="none" w:sz="0" w:space="0" w:color="auto"/>
      </w:divBdr>
    </w:div>
    <w:div w:id="2018313249">
      <w:bodyDiv w:val="1"/>
      <w:marLeft w:val="0"/>
      <w:marRight w:val="0"/>
      <w:marTop w:val="0"/>
      <w:marBottom w:val="0"/>
      <w:divBdr>
        <w:top w:val="none" w:sz="0" w:space="0" w:color="auto"/>
        <w:left w:val="none" w:sz="0" w:space="0" w:color="auto"/>
        <w:bottom w:val="none" w:sz="0" w:space="0" w:color="auto"/>
        <w:right w:val="none" w:sz="0" w:space="0" w:color="auto"/>
      </w:divBdr>
    </w:div>
    <w:div w:id="2091582913">
      <w:bodyDiv w:val="1"/>
      <w:marLeft w:val="0"/>
      <w:marRight w:val="0"/>
      <w:marTop w:val="0"/>
      <w:marBottom w:val="0"/>
      <w:divBdr>
        <w:top w:val="none" w:sz="0" w:space="0" w:color="auto"/>
        <w:left w:val="none" w:sz="0" w:space="0" w:color="auto"/>
        <w:bottom w:val="none" w:sz="0" w:space="0" w:color="auto"/>
        <w:right w:val="none" w:sz="0" w:space="0" w:color="auto"/>
      </w:divBdr>
    </w:div>
    <w:div w:id="2102598163">
      <w:bodyDiv w:val="1"/>
      <w:marLeft w:val="0"/>
      <w:marRight w:val="0"/>
      <w:marTop w:val="0"/>
      <w:marBottom w:val="0"/>
      <w:divBdr>
        <w:top w:val="none" w:sz="0" w:space="0" w:color="auto"/>
        <w:left w:val="none" w:sz="0" w:space="0" w:color="auto"/>
        <w:bottom w:val="none" w:sz="0" w:space="0" w:color="auto"/>
        <w:right w:val="none" w:sz="0" w:space="0" w:color="auto"/>
      </w:divBdr>
    </w:div>
    <w:div w:id="21412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pex.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nZNfY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903b84-dee7-48ec-bef4-825efbcbf433">
      <Terms xmlns="http://schemas.microsoft.com/office/infopath/2007/PartnerControls"/>
    </lcf76f155ced4ddcb4097134ff3c332f>
    <TaxCatchAll xmlns="1bab102b-4742-4273-8727-b584ff6c00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CD4121116434EB38DDB1D7630CF54" ma:contentTypeVersion="16" ma:contentTypeDescription="Create a new document." ma:contentTypeScope="" ma:versionID="909e08fb08789102953cca046f966004">
  <xsd:schema xmlns:xsd="http://www.w3.org/2001/XMLSchema" xmlns:xs="http://www.w3.org/2001/XMLSchema" xmlns:p="http://schemas.microsoft.com/office/2006/metadata/properties" xmlns:ns2="da903b84-dee7-48ec-bef4-825efbcbf433" xmlns:ns3="1bab102b-4742-4273-8727-b584ff6c0030" targetNamespace="http://schemas.microsoft.com/office/2006/metadata/properties" ma:root="true" ma:fieldsID="72454edd3050049616412f808071655b" ns2:_="" ns3:_="">
    <xsd:import namespace="da903b84-dee7-48ec-bef4-825efbcbf433"/>
    <xsd:import namespace="1bab102b-4742-4273-8727-b584ff6c00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03b84-dee7-48ec-bef4-825efbcb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e49b88-f36b-4cab-9127-65c90193c9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ab102b-4742-4273-8727-b584ff6c00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22da1-8935-4abb-80cc-e9126f187922}" ma:internalName="TaxCatchAll" ma:showField="CatchAllData" ma:web="1bab102b-4742-4273-8727-b584ff6c0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E706B-5D37-4F34-A1F4-4DDE959887C7}">
  <ds:schemaRefs>
    <ds:schemaRef ds:uri="http://schemas.openxmlformats.org/officeDocument/2006/bibliography"/>
  </ds:schemaRefs>
</ds:datastoreItem>
</file>

<file path=customXml/itemProps2.xml><?xml version="1.0" encoding="utf-8"?>
<ds:datastoreItem xmlns:ds="http://schemas.openxmlformats.org/officeDocument/2006/customXml" ds:itemID="{302AC851-6D47-454C-B206-33269A5AF598}">
  <ds:schemaRefs>
    <ds:schemaRef ds:uri="http://schemas.microsoft.com/office/2006/metadata/properties"/>
    <ds:schemaRef ds:uri="http://schemas.microsoft.com/office/infopath/2007/PartnerControls"/>
    <ds:schemaRef ds:uri="da903b84-dee7-48ec-bef4-825efbcbf433"/>
    <ds:schemaRef ds:uri="1bab102b-4742-4273-8727-b584ff6c0030"/>
  </ds:schemaRefs>
</ds:datastoreItem>
</file>

<file path=customXml/itemProps3.xml><?xml version="1.0" encoding="utf-8"?>
<ds:datastoreItem xmlns:ds="http://schemas.openxmlformats.org/officeDocument/2006/customXml" ds:itemID="{88CB16FA-B433-4876-884A-FD05BFA2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03b84-dee7-48ec-bef4-825efbcbf433"/>
    <ds:schemaRef ds:uri="1bab102b-4742-4273-8727-b584ff6c0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AC2C4-484F-4BC5-99E4-A50807E98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Prospex Energy Interims</vt:lpstr>
    </vt:vector>
  </TitlesOfParts>
  <Manager>mark.routh@prospex.energy</Manager>
  <Company>Prospex Energy plc</Company>
  <LinksUpToDate>false</LinksUpToDate>
  <CharactersWithSpaces>31872</CharactersWithSpaces>
  <SharedDoc>false</SharedDoc>
  <HLinks>
    <vt:vector size="6" baseType="variant">
      <vt:variant>
        <vt:i4>7602303</vt:i4>
      </vt:variant>
      <vt:variant>
        <vt:i4>0</vt:i4>
      </vt:variant>
      <vt:variant>
        <vt:i4>0</vt:i4>
      </vt:variant>
      <vt:variant>
        <vt:i4>5</vt:i4>
      </vt:variant>
      <vt:variant>
        <vt:lpwstr>http://www.prospex.energy/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Prospex Energy Interims</dc:title>
  <dc:subject/>
  <dc:creator>jonathan</dc:creator>
  <cp:keywords/>
  <cp:lastModifiedBy>Mark</cp:lastModifiedBy>
  <cp:revision>5</cp:revision>
  <cp:lastPrinted>2022-09-20T19:20:00Z</cp:lastPrinted>
  <dcterms:created xsi:type="dcterms:W3CDTF">2022-09-21T16:01:00Z</dcterms:created>
  <dcterms:modified xsi:type="dcterms:W3CDTF">2022-09-21T16:01:00Z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0x0101005FCCD4121116434EB38DDB1D7630CF54</vt:lpwstr>
  </property>
  <property fmtid="{D5CDD505-2E9C-101B-9397-08002B2CF9AE}" pid="3" name="GrammarlyDocumentId">
    <vt:lpwstr>26097c1808436fb6a581a7bff252e45ac9b1de5b59a0943f7f3e465219d78e7f</vt:lpwstr>
  </property>
</Properties>
</file>